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517455BC"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EF3AD5">
        <w:rPr>
          <w:rFonts w:ascii="Arial" w:hAnsi="Arial" w:cs="Arial"/>
          <w:b/>
          <w:bCs/>
          <w:sz w:val="28"/>
        </w:rPr>
        <w:t>6</w:t>
      </w:r>
      <w:r w:rsidR="002D7D54">
        <w:rPr>
          <w:rFonts w:ascii="Arial" w:hAnsi="Arial" w:cs="Arial" w:hint="eastAsia"/>
          <w:b/>
          <w:bCs/>
          <w:sz w:val="28"/>
          <w:lang w:eastAsia="zh-CN"/>
        </w:rPr>
        <w:t>b</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3B5EEA" w:rsidRPr="003B5EEA">
        <w:rPr>
          <w:rFonts w:ascii="Arial" w:hAnsi="Arial" w:cs="Arial"/>
          <w:b/>
          <w:bCs/>
          <w:sz w:val="28"/>
        </w:rPr>
        <w:t>R1-2108932</w:t>
      </w:r>
    </w:p>
    <w:p w14:paraId="6AAC82D6" w14:textId="02889623"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2D7D54" w:rsidRPr="005006FE">
        <w:rPr>
          <w:rFonts w:ascii="Arial" w:eastAsia="MS Mincho" w:hAnsi="Arial" w:cs="Arial"/>
          <w:b/>
          <w:bCs/>
          <w:sz w:val="28"/>
          <w:lang w:eastAsia="ja-JP"/>
        </w:rPr>
        <w:t>October 11</w:t>
      </w:r>
      <w:r w:rsidR="002D7D54" w:rsidRPr="005006FE">
        <w:rPr>
          <w:rFonts w:ascii="Arial" w:eastAsia="MS Mincho" w:hAnsi="Arial" w:cs="Arial"/>
          <w:b/>
          <w:bCs/>
          <w:sz w:val="28"/>
          <w:vertAlign w:val="superscript"/>
          <w:lang w:eastAsia="ja-JP"/>
        </w:rPr>
        <w:t>th</w:t>
      </w:r>
      <w:r w:rsidR="002D7D54" w:rsidRPr="005006FE">
        <w:rPr>
          <w:rFonts w:ascii="Arial" w:eastAsia="MS Mincho" w:hAnsi="Arial" w:cs="Arial"/>
          <w:b/>
          <w:bCs/>
          <w:sz w:val="28"/>
          <w:lang w:eastAsia="ja-JP"/>
        </w:rPr>
        <w:t xml:space="preserve"> – 19</w:t>
      </w:r>
      <w:r w:rsidR="002D7D54" w:rsidRPr="005006FE">
        <w:rPr>
          <w:rFonts w:ascii="Arial" w:eastAsia="MS Mincho" w:hAnsi="Arial" w:cs="Arial"/>
          <w:b/>
          <w:bCs/>
          <w:sz w:val="28"/>
          <w:vertAlign w:val="superscript"/>
          <w:lang w:eastAsia="ja-JP"/>
        </w:rPr>
        <w:t>th</w:t>
      </w:r>
      <w:r w:rsidR="002D7D54" w:rsidRPr="005006F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73ECD38C"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1B61FB">
        <w:rPr>
          <w:rFonts w:hint="eastAsia"/>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0222CCAE" w:rsidR="00121B70" w:rsidRDefault="009631F9">
      <w:pPr>
        <w:spacing w:after="60"/>
        <w:ind w:left="1555" w:hanging="1555"/>
        <w:jc w:val="left"/>
        <w:rPr>
          <w:b/>
          <w:lang w:eastAsia="zh-CN"/>
        </w:rPr>
      </w:pPr>
      <w:r>
        <w:rPr>
          <w:b/>
        </w:rPr>
        <w:t>Title:</w:t>
      </w:r>
      <w:r>
        <w:rPr>
          <w:b/>
        </w:rPr>
        <w:tab/>
      </w:r>
      <w:r w:rsidR="00C468EF">
        <w:rPr>
          <w:b/>
        </w:rPr>
        <w:t>Disscussion</w:t>
      </w:r>
      <w:r w:rsidR="00C468EF" w:rsidRPr="00C468EF">
        <w:rPr>
          <w:b/>
        </w:rPr>
        <w:t xml:space="preserve"> on timing relationship enhancements 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6A5599EB" w14:textId="77777777" w:rsidR="00C468EF" w:rsidRPr="00C468EF" w:rsidRDefault="00C468EF" w:rsidP="00C468EF">
      <w:pPr>
        <w:keepNext/>
        <w:numPr>
          <w:ilvl w:val="0"/>
          <w:numId w:val="1"/>
        </w:numPr>
        <w:spacing w:before="120"/>
        <w:outlineLvl w:val="0"/>
        <w:rPr>
          <w:b/>
          <w:bCs/>
          <w:sz w:val="28"/>
          <w:szCs w:val="28"/>
          <w:lang w:eastAsia="zh-CN"/>
        </w:rPr>
      </w:pPr>
      <w:r w:rsidRPr="00C468EF">
        <w:rPr>
          <w:rFonts w:hint="eastAsia"/>
          <w:b/>
          <w:bCs/>
          <w:sz w:val="28"/>
          <w:szCs w:val="28"/>
          <w:lang w:eastAsia="zh-CN"/>
        </w:rPr>
        <w:t>Introduction</w:t>
      </w:r>
    </w:p>
    <w:p w14:paraId="70FEBBA3" w14:textId="77777777" w:rsidR="00C468EF" w:rsidRPr="00C468EF" w:rsidRDefault="00C468EF" w:rsidP="00C468EF">
      <w:pPr>
        <w:rPr>
          <w:lang w:eastAsia="zh-CN"/>
        </w:rPr>
      </w:pPr>
      <w:r w:rsidRPr="00C468EF">
        <w:rPr>
          <w:lang w:eastAsia="zh-CN"/>
        </w:rPr>
        <w:t>The WID on NB-IoT and eMTC over Non-Terrestrial Networks (NTNs) is approved in [1]</w:t>
      </w:r>
    </w:p>
    <w:tbl>
      <w:tblPr>
        <w:tblStyle w:val="aff1"/>
        <w:tblW w:w="9307" w:type="dxa"/>
        <w:tblLook w:val="04A0" w:firstRow="1" w:lastRow="0" w:firstColumn="1" w:lastColumn="0" w:noHBand="0" w:noVBand="1"/>
      </w:tblPr>
      <w:tblGrid>
        <w:gridCol w:w="9307"/>
      </w:tblGrid>
      <w:tr w:rsidR="00C468EF" w:rsidRPr="00C468EF" w14:paraId="3B825C54" w14:textId="77777777" w:rsidTr="00E50B9D">
        <w:tc>
          <w:tcPr>
            <w:tcW w:w="9307" w:type="dxa"/>
          </w:tcPr>
          <w:p w14:paraId="7771524C"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 xml:space="preserve">Specify the following time and frequency synchronization enhancements, using NR_NTN_solutions WI  agreements as baseline, according to Section 8 in TR 36.763: </w:t>
            </w:r>
          </w:p>
          <w:p w14:paraId="516F3800"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UE pre-compensation including ephemeris format (orbital / Position -Velocity)</w:t>
            </w:r>
          </w:p>
          <w:p w14:paraId="32C444B9"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 xml:space="preserve">UE pre-compensation for UL synchronization in RRC_IDLE and RRC_CONNECTED states based at least on its GNSS-acquired position and the serving satellite ephemeris </w:t>
            </w:r>
          </w:p>
          <w:p w14:paraId="2E8D3630"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Timing advance formula (granularity of the timing advance may be different)</w:t>
            </w:r>
          </w:p>
          <w:p w14:paraId="7A64A620"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Combination of Open (i.e. UE autonomous TA estimation, and common TA estimation) and Closed TA (i.e., received TA commands) control loops in RRC_CONNECTED state</w:t>
            </w:r>
          </w:p>
          <w:p w14:paraId="02461FE7"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 xml:space="preserve">Agreements on the above are up to the decision in NR_NTN_Solutions WI and will be used for IoT NTN with minimum changes, if any. </w:t>
            </w:r>
          </w:p>
          <w:p w14:paraId="57428136" w14:textId="77777777" w:rsidR="00C468EF" w:rsidRPr="00C468EF" w:rsidRDefault="00C468EF" w:rsidP="00C468EF">
            <w:pPr>
              <w:autoSpaceDE/>
              <w:autoSpaceDN/>
              <w:adjustRightInd/>
              <w:snapToGrid/>
              <w:spacing w:after="0"/>
              <w:rPr>
                <w:rFonts w:ascii="Calibri" w:eastAsia="PMingLiU" w:hAnsi="Calibri"/>
                <w:b/>
                <w:i/>
                <w:kern w:val="2"/>
                <w:sz w:val="21"/>
                <w:u w:val="single"/>
                <w:lang w:eastAsia="zh-CN"/>
              </w:rPr>
            </w:pPr>
          </w:p>
          <w:p w14:paraId="2D63D979"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Specify the following time and frequency synchronization enhancements that are not covered by NR_NTN_Solutions WI agreements, according to Section 8 in TR 36.763:</w:t>
            </w:r>
          </w:p>
          <w:p w14:paraId="6A9AD42A"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Long PUSCH and PRACH Transmission enhancements: segmented UE pre-compensations, new UL gaps and/or implementation solutions, time units and duration of segments.</w:t>
            </w:r>
          </w:p>
          <w:p w14:paraId="50CA4DF6"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Validity timer for UL synchronization: satellite ephemeris, and potentially other aspects</w:t>
            </w:r>
          </w:p>
          <w:p w14:paraId="7C1DB61F"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 xml:space="preserve">DL synchronization enhancements: A single solution will be selected between: new channel raster, (part of) ARFCN-indication-in-MIB. </w:t>
            </w:r>
          </w:p>
          <w:p w14:paraId="1AE0C8B6" w14:textId="77777777" w:rsidR="00C468EF" w:rsidRPr="00C468EF" w:rsidRDefault="00C468EF" w:rsidP="00C468EF">
            <w:pPr>
              <w:autoSpaceDE/>
              <w:autoSpaceDN/>
              <w:adjustRightInd/>
              <w:snapToGrid/>
              <w:spacing w:after="0"/>
              <w:ind w:left="568" w:hanging="284"/>
              <w:rPr>
                <w:rFonts w:ascii="Calibri"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GNSS Measurements: Validity of a GNSS position fix and details of acquiring a GNSS position fix, duration of validity, in RRC CONNECTED mode for sporadic short transmission</w:t>
            </w:r>
          </w:p>
          <w:p w14:paraId="3C80B4ED"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p>
          <w:p w14:paraId="30A9B487" w14:textId="77777777" w:rsidR="00C468EF" w:rsidRPr="00C468EF" w:rsidRDefault="00C468EF" w:rsidP="00C468EF">
            <w:pPr>
              <w:autoSpaceDE/>
              <w:autoSpaceDN/>
              <w:adjustRightInd/>
              <w:snapToGrid/>
              <w:spacing w:after="0"/>
              <w:rPr>
                <w:rFonts w:ascii="Calibri" w:eastAsia="PMingLiU" w:hAnsi="Calibri"/>
                <w:kern w:val="2"/>
                <w:sz w:val="21"/>
                <w:lang w:eastAsia="zh-CN"/>
              </w:rPr>
            </w:pPr>
            <w:r w:rsidRPr="00C468EF">
              <w:rPr>
                <w:rFonts w:ascii="Calibri" w:eastAsia="PMingLiU" w:hAnsi="Calibri"/>
                <w:kern w:val="2"/>
                <w:sz w:val="21"/>
                <w:lang w:eastAsia="zh-CN"/>
              </w:rPr>
              <w:t>Specify the following  IoT NTN specific timing relationships enhancements according to Section 8 in TR 36.763:</w:t>
            </w:r>
          </w:p>
          <w:p w14:paraId="797F5D01"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 xml:space="preserve">Timing relationships for NB-IoT / eMTC: as listed in Section 6.6.3 in TR 36.763 </w:t>
            </w:r>
          </w:p>
          <w:p w14:paraId="261FF7E2" w14:textId="77777777" w:rsidR="00C468EF" w:rsidRPr="00C468EF" w:rsidRDefault="00C468EF" w:rsidP="00C468EF">
            <w:pPr>
              <w:autoSpaceDE/>
              <w:autoSpaceDN/>
              <w:adjustRightInd/>
              <w:snapToGrid/>
              <w:spacing w:after="0"/>
              <w:ind w:left="568" w:hanging="284"/>
              <w:rPr>
                <w:rFonts w:ascii="Calibri" w:eastAsia="PMingLiU"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UL scheduling for FDD-HD: Use of UE-specific TA and/or K_offset to avoid UL-DL collisions in FDD-HD</w:t>
            </w:r>
          </w:p>
          <w:p w14:paraId="33757125" w14:textId="77777777" w:rsidR="00C468EF" w:rsidRPr="00C468EF" w:rsidRDefault="00C468EF" w:rsidP="00C468EF">
            <w:pPr>
              <w:autoSpaceDE/>
              <w:autoSpaceDN/>
              <w:adjustRightInd/>
              <w:snapToGrid/>
              <w:spacing w:after="0"/>
              <w:ind w:left="568" w:hanging="284"/>
              <w:rPr>
                <w:rFonts w:ascii="Calibri" w:hAnsi="Calibri"/>
                <w:kern w:val="2"/>
                <w:sz w:val="21"/>
                <w:lang w:eastAsia="zh-CN"/>
              </w:rPr>
            </w:pPr>
            <w:r w:rsidRPr="00C468EF">
              <w:rPr>
                <w:rFonts w:ascii="Calibri" w:eastAsia="PMingLiU" w:hAnsi="Calibri"/>
                <w:kern w:val="2"/>
                <w:sz w:val="21"/>
                <w:lang w:eastAsia="zh-CN"/>
              </w:rPr>
              <w:t>-</w:t>
            </w:r>
            <w:r w:rsidRPr="00C468EF">
              <w:rPr>
                <w:rFonts w:ascii="Calibri" w:eastAsia="PMingLiU" w:hAnsi="Calibri"/>
                <w:kern w:val="2"/>
                <w:sz w:val="21"/>
                <w:lang w:eastAsia="zh-CN"/>
              </w:rPr>
              <w:tab/>
              <w:t>Signalling aspects in UE-specific TA maintenance and reporting, techniques to reduce the signalling load and determination of the UE-specific TA.</w:t>
            </w:r>
          </w:p>
        </w:tc>
      </w:tr>
    </w:tbl>
    <w:p w14:paraId="131CCBB9" w14:textId="77777777" w:rsidR="00C468EF" w:rsidRPr="00C468EF" w:rsidRDefault="00C468EF" w:rsidP="00C468EF">
      <w:pPr>
        <w:autoSpaceDE/>
        <w:autoSpaceDN/>
        <w:adjustRightInd/>
        <w:snapToGrid/>
        <w:rPr>
          <w:rFonts w:eastAsia="宋体"/>
          <w:lang w:eastAsia="zh-CN"/>
        </w:rPr>
      </w:pPr>
      <w:r w:rsidRPr="00C468EF">
        <w:rPr>
          <w:rFonts w:eastAsia="宋体"/>
          <w:lang w:eastAsia="x-none"/>
        </w:rPr>
        <w:t>In this contribution,</w:t>
      </w:r>
      <w:r w:rsidRPr="00C468EF">
        <w:t xml:space="preserve"> </w:t>
      </w:r>
      <w:r w:rsidRPr="00C468EF">
        <w:rPr>
          <w:rFonts w:eastAsia="宋体"/>
          <w:lang w:eastAsia="x-none"/>
        </w:rPr>
        <w:t xml:space="preserve">we </w:t>
      </w:r>
      <w:r w:rsidRPr="00C468EF">
        <w:rPr>
          <w:rFonts w:eastAsia="宋体" w:hint="eastAsia"/>
          <w:lang w:eastAsia="zh-CN"/>
        </w:rPr>
        <w:t>share</w:t>
      </w:r>
      <w:r w:rsidRPr="00C468EF">
        <w:rPr>
          <w:rFonts w:eastAsia="宋体"/>
          <w:lang w:eastAsia="zh-CN"/>
        </w:rPr>
        <w:t xml:space="preserve"> </w:t>
      </w:r>
      <w:r w:rsidRPr="00C468EF">
        <w:rPr>
          <w:rFonts w:eastAsia="宋体"/>
          <w:lang w:eastAsia="x-none"/>
        </w:rPr>
        <w:t>our initial views on timing relationship enhancements to NB-IoT/eMTC over NTN</w:t>
      </w:r>
      <w:r w:rsidRPr="00C468EF">
        <w:rPr>
          <w:rFonts w:eastAsia="宋体"/>
          <w:lang w:eastAsia="zh-CN"/>
        </w:rPr>
        <w:t>.</w:t>
      </w:r>
    </w:p>
    <w:p w14:paraId="52C03D71" w14:textId="77777777" w:rsidR="00C468EF" w:rsidRDefault="00C468EF" w:rsidP="00C468EF">
      <w:pPr>
        <w:autoSpaceDE/>
        <w:autoSpaceDN/>
        <w:adjustRightInd/>
        <w:snapToGrid/>
        <w:rPr>
          <w:rFonts w:eastAsia="宋体"/>
          <w:lang w:eastAsia="zh-CN"/>
        </w:rPr>
      </w:pPr>
    </w:p>
    <w:p w14:paraId="68C2AF22" w14:textId="0CD2F634" w:rsidR="00395E3E" w:rsidRPr="00395E3E" w:rsidRDefault="00395E3E" w:rsidP="00395E3E">
      <w:pPr>
        <w:keepNext/>
        <w:numPr>
          <w:ilvl w:val="0"/>
          <w:numId w:val="1"/>
        </w:numPr>
        <w:spacing w:before="120"/>
        <w:outlineLvl w:val="0"/>
        <w:rPr>
          <w:b/>
          <w:bCs/>
          <w:sz w:val="28"/>
          <w:szCs w:val="28"/>
          <w:lang w:eastAsia="zh-CN"/>
        </w:rPr>
      </w:pPr>
      <w:r w:rsidRPr="00395E3E">
        <w:rPr>
          <w:b/>
          <w:bCs/>
          <w:sz w:val="28"/>
          <w:szCs w:val="28"/>
          <w:lang w:eastAsia="zh-CN"/>
        </w:rPr>
        <w:t>UE-specific TA reporting</w:t>
      </w:r>
    </w:p>
    <w:p w14:paraId="0FC59BD2" w14:textId="6AC76DC7" w:rsidR="00395E3E" w:rsidRDefault="009A4832" w:rsidP="00C468EF">
      <w:pPr>
        <w:autoSpaceDE/>
        <w:autoSpaceDN/>
        <w:adjustRightInd/>
        <w:snapToGrid/>
        <w:rPr>
          <w:rFonts w:eastAsia="宋体"/>
          <w:lang w:eastAsia="zh-CN"/>
        </w:rPr>
      </w:pPr>
      <w:r w:rsidRPr="009A4832">
        <w:rPr>
          <w:rFonts w:eastAsia="宋体"/>
          <w:lang w:eastAsia="zh-CN"/>
        </w:rPr>
        <w:t>In RAN1#106_e, the following agreement on TA reporting had been achieved [</w:t>
      </w:r>
      <w:r w:rsidR="008C7415">
        <w:rPr>
          <w:rFonts w:eastAsia="宋体"/>
          <w:lang w:eastAsia="zh-CN"/>
        </w:rPr>
        <w:t>2</w:t>
      </w:r>
      <w:r w:rsidRPr="009A4832">
        <w:rPr>
          <w:rFonts w:eastAsia="宋体"/>
          <w:lang w:eastAsia="zh-CN"/>
        </w:rPr>
        <w:t>].</w:t>
      </w:r>
    </w:p>
    <w:tbl>
      <w:tblPr>
        <w:tblStyle w:val="aff1"/>
        <w:tblW w:w="0" w:type="auto"/>
        <w:tblLook w:val="04A0" w:firstRow="1" w:lastRow="0" w:firstColumn="1" w:lastColumn="0" w:noHBand="0" w:noVBand="1"/>
      </w:tblPr>
      <w:tblGrid>
        <w:gridCol w:w="9307"/>
      </w:tblGrid>
      <w:tr w:rsidR="00395E3E" w:rsidRPr="00395E3E" w14:paraId="5352E0FE" w14:textId="77777777" w:rsidTr="00395E3E">
        <w:tc>
          <w:tcPr>
            <w:tcW w:w="9307" w:type="dxa"/>
          </w:tcPr>
          <w:p w14:paraId="509B2B58" w14:textId="77777777" w:rsidR="00395E3E" w:rsidRPr="00395E3E" w:rsidRDefault="00395E3E" w:rsidP="00395E3E">
            <w:pPr>
              <w:autoSpaceDE/>
              <w:autoSpaceDN/>
              <w:adjustRightInd/>
              <w:snapToGrid/>
              <w:spacing w:after="0"/>
              <w:jc w:val="left"/>
              <w:rPr>
                <w:rFonts w:ascii="Times" w:eastAsia="Batang" w:hAnsi="Times"/>
                <w:szCs w:val="24"/>
                <w:lang w:val="en-GB" w:eastAsia="x-none"/>
              </w:rPr>
            </w:pPr>
            <w:r w:rsidRPr="00395E3E">
              <w:rPr>
                <w:rFonts w:ascii="Times" w:eastAsia="Batang" w:hAnsi="Times"/>
                <w:szCs w:val="24"/>
                <w:highlight w:val="green"/>
                <w:lang w:val="en-GB" w:eastAsia="x-none"/>
              </w:rPr>
              <w:t>Agreement:</w:t>
            </w:r>
          </w:p>
          <w:p w14:paraId="6BDAB731" w14:textId="77777777" w:rsidR="00395E3E" w:rsidRPr="00395E3E" w:rsidRDefault="00395E3E" w:rsidP="00395E3E">
            <w:pPr>
              <w:autoSpaceDE/>
              <w:autoSpaceDN/>
              <w:adjustRightInd/>
              <w:snapToGrid/>
              <w:spacing w:after="0"/>
              <w:jc w:val="left"/>
              <w:rPr>
                <w:rFonts w:ascii="Times" w:eastAsia="Batang" w:hAnsi="Times"/>
                <w:szCs w:val="24"/>
                <w:lang w:val="en-GB" w:eastAsia="x-none"/>
              </w:rPr>
            </w:pPr>
            <w:r w:rsidRPr="00395E3E">
              <w:rPr>
                <w:rFonts w:ascii="Times" w:eastAsia="Batang" w:hAnsi="Times"/>
                <w:szCs w:val="24"/>
                <w:lang w:val="en-GB" w:eastAsia="x-none"/>
              </w:rPr>
              <w:t>UE-specific TA reporting is supported in IoT-NTN</w:t>
            </w:r>
          </w:p>
          <w:p w14:paraId="41437100" w14:textId="18061E70" w:rsidR="00395E3E" w:rsidRPr="00395E3E" w:rsidRDefault="00395E3E" w:rsidP="00C468EF">
            <w:pPr>
              <w:numPr>
                <w:ilvl w:val="0"/>
                <w:numId w:val="44"/>
              </w:numPr>
              <w:autoSpaceDE/>
              <w:autoSpaceDN/>
              <w:adjustRightInd/>
              <w:snapToGrid/>
              <w:spacing w:after="0"/>
              <w:jc w:val="left"/>
              <w:rPr>
                <w:rFonts w:ascii="Times" w:eastAsia="Batang" w:hAnsi="Times"/>
                <w:szCs w:val="24"/>
                <w:lang w:val="en-GB" w:eastAsia="x-none"/>
              </w:rPr>
            </w:pPr>
            <w:r w:rsidRPr="00395E3E">
              <w:rPr>
                <w:rFonts w:ascii="Times" w:eastAsia="Batang" w:hAnsi="Times"/>
                <w:szCs w:val="24"/>
                <w:lang w:val="en-GB" w:eastAsia="x-none"/>
              </w:rPr>
              <w:t>FFS: Detailed contents of report</w:t>
            </w:r>
          </w:p>
        </w:tc>
      </w:tr>
    </w:tbl>
    <w:p w14:paraId="0FDA737C" w14:textId="39D399B7" w:rsidR="00395E3E" w:rsidRDefault="009A4832" w:rsidP="009A4832">
      <w:pPr>
        <w:tabs>
          <w:tab w:val="left" w:pos="7940"/>
        </w:tabs>
        <w:autoSpaceDE/>
        <w:autoSpaceDN/>
        <w:adjustRightInd/>
        <w:snapToGrid/>
        <w:rPr>
          <w:rFonts w:eastAsia="宋体"/>
          <w:lang w:eastAsia="zh-CN"/>
        </w:rPr>
      </w:pPr>
      <w:r>
        <w:rPr>
          <w:rFonts w:eastAsia="宋体" w:hint="eastAsia"/>
          <w:lang w:eastAsia="zh-CN"/>
        </w:rPr>
        <w:t xml:space="preserve">Furthermore, the following </w:t>
      </w:r>
      <w:r>
        <w:rPr>
          <w:rFonts w:eastAsia="宋体"/>
          <w:lang w:eastAsia="zh-CN"/>
        </w:rPr>
        <w:t xml:space="preserve">proposal on the detail of </w:t>
      </w:r>
      <w:r w:rsidRPr="009A4832">
        <w:rPr>
          <w:rFonts w:eastAsia="宋体"/>
          <w:lang w:eastAsia="zh-CN"/>
        </w:rPr>
        <w:t>updat</w:t>
      </w:r>
      <w:r>
        <w:rPr>
          <w:rFonts w:eastAsia="宋体"/>
          <w:lang w:eastAsia="zh-CN"/>
        </w:rPr>
        <w:t>ing the UE-specific TA had been made</w:t>
      </w:r>
      <w:r w:rsidR="00D16E81">
        <w:rPr>
          <w:rFonts w:eastAsia="宋体"/>
          <w:lang w:eastAsia="zh-CN"/>
        </w:rPr>
        <w:t xml:space="preserve"> in [</w:t>
      </w:r>
      <w:r w:rsidR="008C7415">
        <w:rPr>
          <w:rFonts w:eastAsia="宋体"/>
          <w:lang w:eastAsia="zh-CN"/>
        </w:rPr>
        <w:t>3</w:t>
      </w:r>
      <w:r w:rsidR="00D16E81">
        <w:rPr>
          <w:rFonts w:eastAsia="宋体"/>
          <w:lang w:eastAsia="zh-CN"/>
        </w:rPr>
        <w:t>]</w:t>
      </w:r>
      <w:r>
        <w:rPr>
          <w:rFonts w:eastAsia="宋体"/>
          <w:lang w:eastAsia="zh-CN"/>
        </w:rPr>
        <w:t>.</w:t>
      </w:r>
    </w:p>
    <w:tbl>
      <w:tblPr>
        <w:tblStyle w:val="aff1"/>
        <w:tblW w:w="0" w:type="auto"/>
        <w:tblLook w:val="04A0" w:firstRow="1" w:lastRow="0" w:firstColumn="1" w:lastColumn="0" w:noHBand="0" w:noVBand="1"/>
      </w:tblPr>
      <w:tblGrid>
        <w:gridCol w:w="9307"/>
      </w:tblGrid>
      <w:tr w:rsidR="00395E3E" w:rsidRPr="00395E3E" w14:paraId="58A1DA6B" w14:textId="77777777" w:rsidTr="00395E3E">
        <w:tc>
          <w:tcPr>
            <w:tcW w:w="9307" w:type="dxa"/>
          </w:tcPr>
          <w:p w14:paraId="58F7DCC1" w14:textId="77777777" w:rsidR="00395E3E" w:rsidRPr="00395E3E" w:rsidRDefault="00395E3E" w:rsidP="00395E3E">
            <w:pPr>
              <w:spacing w:after="0"/>
              <w:rPr>
                <w:rFonts w:eastAsia="宋体"/>
                <w:szCs w:val="20"/>
                <w:u w:val="single"/>
              </w:rPr>
            </w:pPr>
            <w:r w:rsidRPr="00395E3E">
              <w:rPr>
                <w:rFonts w:eastAsia="宋体"/>
                <w:szCs w:val="20"/>
                <w:u w:val="single"/>
              </w:rPr>
              <w:t>Modified FL Proposal 7.1.2</w:t>
            </w:r>
          </w:p>
          <w:p w14:paraId="37DCC0B7" w14:textId="77777777" w:rsidR="00395E3E" w:rsidRPr="00395E3E" w:rsidRDefault="00395E3E" w:rsidP="00395E3E">
            <w:pPr>
              <w:autoSpaceDE/>
              <w:autoSpaceDN/>
              <w:adjustRightInd/>
              <w:snapToGrid/>
              <w:spacing w:after="0"/>
              <w:jc w:val="left"/>
              <w:rPr>
                <w:rFonts w:ascii="Times" w:eastAsia="Batang" w:hAnsi="Times"/>
                <w:szCs w:val="24"/>
                <w:highlight w:val="cyan"/>
                <w:lang w:val="en-GB" w:eastAsia="x-none"/>
              </w:rPr>
            </w:pPr>
            <w:r w:rsidRPr="00395E3E">
              <w:rPr>
                <w:rFonts w:ascii="Times" w:eastAsia="Batang" w:hAnsi="Times"/>
                <w:szCs w:val="24"/>
                <w:highlight w:val="cyan"/>
                <w:lang w:val="en-GB" w:eastAsia="x-none"/>
              </w:rPr>
              <w:lastRenderedPageBreak/>
              <w:t>The following options represent quantities that can be considered for signalling to set and update the UE-specific TA (only some may be supported)</w:t>
            </w:r>
          </w:p>
          <w:p w14:paraId="2AD9F5D6" w14:textId="77777777" w:rsidR="00395E3E" w:rsidRPr="00395E3E" w:rsidRDefault="00395E3E" w:rsidP="00395E3E">
            <w:pPr>
              <w:numPr>
                <w:ilvl w:val="0"/>
                <w:numId w:val="44"/>
              </w:numPr>
              <w:autoSpaceDE/>
              <w:autoSpaceDN/>
              <w:adjustRightInd/>
              <w:snapToGrid/>
              <w:spacing w:after="0"/>
              <w:jc w:val="left"/>
              <w:rPr>
                <w:rFonts w:ascii="Times" w:eastAsia="Batang" w:hAnsi="Times"/>
                <w:szCs w:val="24"/>
                <w:highlight w:val="cyan"/>
                <w:lang w:val="en-GB" w:eastAsia="x-none"/>
              </w:rPr>
            </w:pPr>
            <w:r w:rsidRPr="00395E3E">
              <w:rPr>
                <w:rFonts w:ascii="Times" w:eastAsia="Batang" w:hAnsi="Times"/>
                <w:szCs w:val="24"/>
                <w:highlight w:val="cyan"/>
                <w:lang w:val="en-GB" w:eastAsia="x-none"/>
              </w:rPr>
              <w:t xml:space="preserve">Option 1: UE-specific </w:t>
            </w:r>
            <w:r w:rsidRPr="00395E3E">
              <w:rPr>
                <w:rFonts w:ascii="Times" w:eastAsia="Batang" w:hAnsi="Times"/>
                <w:szCs w:val="24"/>
                <w:highlight w:val="cyan"/>
                <w:lang w:val="en-GB"/>
              </w:rPr>
              <w:t>N</w:t>
            </w:r>
            <w:r w:rsidRPr="00395E3E">
              <w:rPr>
                <w:rFonts w:ascii="Times" w:eastAsia="Batang" w:hAnsi="Times"/>
                <w:szCs w:val="24"/>
                <w:highlight w:val="cyan"/>
                <w:vertAlign w:val="subscript"/>
                <w:lang w:val="en-GB"/>
              </w:rPr>
              <w:t>TA, UE-specific</w:t>
            </w:r>
            <w:r w:rsidRPr="00395E3E">
              <w:rPr>
                <w:rFonts w:ascii="Times" w:eastAsia="Batang" w:hAnsi="Times"/>
                <w:szCs w:val="24"/>
                <w:highlight w:val="cyan"/>
                <w:lang w:val="en-GB" w:eastAsia="x-none"/>
              </w:rPr>
              <w:t xml:space="preserve"> </w:t>
            </w:r>
          </w:p>
          <w:p w14:paraId="06B8E5EB" w14:textId="77777777" w:rsidR="00395E3E" w:rsidRPr="00395E3E" w:rsidRDefault="00395E3E" w:rsidP="00395E3E">
            <w:pPr>
              <w:numPr>
                <w:ilvl w:val="0"/>
                <w:numId w:val="44"/>
              </w:numPr>
              <w:autoSpaceDE/>
              <w:autoSpaceDN/>
              <w:adjustRightInd/>
              <w:snapToGrid/>
              <w:spacing w:after="0"/>
              <w:jc w:val="left"/>
              <w:rPr>
                <w:rFonts w:ascii="Times" w:eastAsia="Batang" w:hAnsi="Times"/>
                <w:szCs w:val="24"/>
                <w:highlight w:val="cyan"/>
                <w:lang w:val="en-GB" w:eastAsia="x-none"/>
              </w:rPr>
            </w:pPr>
            <w:r w:rsidRPr="00395E3E">
              <w:rPr>
                <w:rFonts w:ascii="Times" w:eastAsia="Batang" w:hAnsi="Times"/>
                <w:szCs w:val="24"/>
                <w:highlight w:val="cyan"/>
                <w:lang w:val="en-GB" w:eastAsia="x-none"/>
              </w:rPr>
              <w:t>Option 2: UE-specific full TA applicable to UL transmission</w:t>
            </w:r>
          </w:p>
          <w:p w14:paraId="7E590D4F" w14:textId="77777777" w:rsidR="00395E3E" w:rsidRPr="00395E3E" w:rsidRDefault="00395E3E" w:rsidP="00395E3E">
            <w:pPr>
              <w:numPr>
                <w:ilvl w:val="0"/>
                <w:numId w:val="44"/>
              </w:numPr>
              <w:autoSpaceDE/>
              <w:autoSpaceDN/>
              <w:adjustRightInd/>
              <w:snapToGrid/>
              <w:spacing w:after="0"/>
              <w:jc w:val="left"/>
              <w:rPr>
                <w:rFonts w:ascii="Times" w:eastAsia="Batang" w:hAnsi="Times"/>
                <w:szCs w:val="24"/>
                <w:highlight w:val="cyan"/>
                <w:lang w:val="en-GB" w:eastAsia="x-none"/>
              </w:rPr>
            </w:pPr>
            <w:r w:rsidRPr="00395E3E">
              <w:rPr>
                <w:rFonts w:ascii="Times" w:eastAsia="Batang" w:hAnsi="Times"/>
                <w:szCs w:val="24"/>
                <w:highlight w:val="cyan"/>
                <w:lang w:val="en-GB" w:eastAsia="x-none"/>
              </w:rPr>
              <w:t xml:space="preserve">Option 3: UE location </w:t>
            </w:r>
          </w:p>
          <w:p w14:paraId="39607E98" w14:textId="77777777" w:rsidR="00395E3E" w:rsidRPr="00395E3E" w:rsidRDefault="00395E3E" w:rsidP="00395E3E">
            <w:pPr>
              <w:numPr>
                <w:ilvl w:val="0"/>
                <w:numId w:val="44"/>
              </w:numPr>
              <w:overflowPunct w:val="0"/>
              <w:autoSpaceDE/>
              <w:autoSpaceDN/>
              <w:adjustRightInd/>
              <w:snapToGrid/>
              <w:spacing w:after="0"/>
              <w:jc w:val="left"/>
              <w:rPr>
                <w:rFonts w:ascii="Calibri" w:eastAsia="宋体" w:hAnsi="Calibri"/>
                <w:szCs w:val="20"/>
                <w:highlight w:val="cyan"/>
              </w:rPr>
            </w:pPr>
            <w:r w:rsidRPr="00395E3E">
              <w:rPr>
                <w:rFonts w:ascii="Calibri" w:eastAsia="宋体" w:hAnsi="Calibri"/>
                <w:szCs w:val="20"/>
                <w:highlight w:val="cyan"/>
              </w:rPr>
              <w:t xml:space="preserve">Option 4: Difference between UE-specific K_offset and cell-specific K_offset </w:t>
            </w:r>
          </w:p>
          <w:p w14:paraId="45E56077" w14:textId="77777777" w:rsidR="00395E3E" w:rsidRPr="00395E3E" w:rsidRDefault="00395E3E" w:rsidP="00395E3E">
            <w:pPr>
              <w:numPr>
                <w:ilvl w:val="0"/>
                <w:numId w:val="44"/>
              </w:numPr>
              <w:overflowPunct w:val="0"/>
              <w:autoSpaceDE/>
              <w:autoSpaceDN/>
              <w:adjustRightInd/>
              <w:snapToGrid/>
              <w:spacing w:after="0"/>
              <w:jc w:val="left"/>
              <w:rPr>
                <w:rFonts w:ascii="Calibri" w:eastAsia="宋体" w:hAnsi="Calibri"/>
                <w:szCs w:val="20"/>
                <w:highlight w:val="cyan"/>
              </w:rPr>
            </w:pPr>
            <w:r w:rsidRPr="00395E3E">
              <w:rPr>
                <w:rFonts w:ascii="Calibri" w:eastAsia="宋体" w:hAnsi="Calibri"/>
                <w:szCs w:val="20"/>
                <w:highlight w:val="cyan"/>
              </w:rPr>
              <w:t xml:space="preserve">Option 5: Difference between the last applied K_offset (e.g., cell-specific K_offset or UE-specific K_offset indicated by the network) and one new K_offset suggested by UE </w:t>
            </w:r>
          </w:p>
          <w:p w14:paraId="0BB28781" w14:textId="77777777" w:rsidR="00395E3E" w:rsidRPr="00395E3E" w:rsidRDefault="00395E3E" w:rsidP="00395E3E">
            <w:pPr>
              <w:numPr>
                <w:ilvl w:val="0"/>
                <w:numId w:val="44"/>
              </w:numPr>
              <w:overflowPunct w:val="0"/>
              <w:autoSpaceDE/>
              <w:autoSpaceDN/>
              <w:adjustRightInd/>
              <w:snapToGrid/>
              <w:spacing w:after="0"/>
              <w:jc w:val="left"/>
              <w:rPr>
                <w:rFonts w:ascii="Calibri" w:eastAsia="宋体" w:hAnsi="Calibri"/>
                <w:szCs w:val="20"/>
                <w:highlight w:val="cyan"/>
              </w:rPr>
            </w:pPr>
            <w:r w:rsidRPr="00395E3E">
              <w:rPr>
                <w:rFonts w:ascii="Calibri" w:eastAsia="宋体" w:hAnsi="Calibri"/>
                <w:szCs w:val="20"/>
                <w:highlight w:val="cyan"/>
              </w:rPr>
              <w:t>Option 6: Differential indication</w:t>
            </w:r>
          </w:p>
          <w:p w14:paraId="5B052446" w14:textId="77777777" w:rsidR="00395E3E" w:rsidRPr="00395E3E" w:rsidRDefault="00395E3E" w:rsidP="00395E3E">
            <w:pPr>
              <w:numPr>
                <w:ilvl w:val="0"/>
                <w:numId w:val="44"/>
              </w:numPr>
              <w:autoSpaceDE/>
              <w:autoSpaceDN/>
              <w:adjustRightInd/>
              <w:snapToGrid/>
              <w:spacing w:after="0"/>
              <w:jc w:val="left"/>
              <w:rPr>
                <w:rFonts w:ascii="Times" w:eastAsia="Batang" w:hAnsi="Times"/>
                <w:szCs w:val="24"/>
                <w:highlight w:val="cyan"/>
                <w:lang w:val="en-GB" w:eastAsia="x-none"/>
              </w:rPr>
            </w:pPr>
            <w:r w:rsidRPr="00395E3E">
              <w:rPr>
                <w:rFonts w:ascii="Times" w:eastAsia="Batang" w:hAnsi="Times"/>
                <w:szCs w:val="24"/>
                <w:highlight w:val="cyan"/>
                <w:lang w:val="en-GB" w:eastAsia="x-none"/>
              </w:rPr>
              <w:t>Option 7: Reporting of a stationarity indication + Option 1 or Option 2</w:t>
            </w:r>
          </w:p>
          <w:p w14:paraId="5AA720CA" w14:textId="6F4D650C" w:rsidR="00395E3E" w:rsidRPr="00395E3E" w:rsidRDefault="00395E3E" w:rsidP="00395E3E">
            <w:pPr>
              <w:autoSpaceDE/>
              <w:autoSpaceDN/>
              <w:adjustRightInd/>
              <w:snapToGrid/>
              <w:rPr>
                <w:rFonts w:eastAsia="宋体"/>
                <w:lang w:eastAsia="zh-CN"/>
              </w:rPr>
            </w:pPr>
            <w:r w:rsidRPr="00395E3E">
              <w:rPr>
                <w:rFonts w:ascii="Times" w:eastAsia="Batang" w:hAnsi="Times"/>
                <w:szCs w:val="24"/>
                <w:highlight w:val="cyan"/>
                <w:lang w:val="en-GB"/>
              </w:rPr>
              <w:t>FFS whether to down select including combining options</w:t>
            </w:r>
          </w:p>
        </w:tc>
      </w:tr>
    </w:tbl>
    <w:p w14:paraId="76CBE4E3" w14:textId="16B9C87E" w:rsidR="007746DC" w:rsidRPr="00681440" w:rsidRDefault="00731F8E" w:rsidP="00681440">
      <w:pPr>
        <w:autoSpaceDE/>
        <w:autoSpaceDN/>
        <w:adjustRightInd/>
        <w:snapToGrid/>
        <w:rPr>
          <w:rFonts w:eastAsia="宋体" w:hint="eastAsia"/>
          <w:lang w:eastAsia="zh-CN"/>
        </w:rPr>
      </w:pPr>
      <w:r>
        <w:rPr>
          <w:rFonts w:eastAsia="宋体" w:hint="eastAsia"/>
          <w:lang w:eastAsia="zh-CN"/>
        </w:rPr>
        <w:lastRenderedPageBreak/>
        <w:t xml:space="preserve">For </w:t>
      </w:r>
      <w:r w:rsidRPr="00731F8E">
        <w:rPr>
          <w:rFonts w:eastAsia="宋体"/>
          <w:lang w:eastAsia="zh-CN"/>
        </w:rPr>
        <w:t>UE-specific TA reporting</w:t>
      </w:r>
      <w:r>
        <w:rPr>
          <w:rFonts w:eastAsia="宋体"/>
          <w:lang w:eastAsia="zh-CN"/>
        </w:rPr>
        <w:t xml:space="preserve">, </w:t>
      </w:r>
      <w:r w:rsidR="00777CDA">
        <w:rPr>
          <w:rFonts w:eastAsia="宋体"/>
          <w:lang w:eastAsia="zh-CN"/>
        </w:rPr>
        <w:t>UE only need to report</w:t>
      </w:r>
      <w:r w:rsidR="00777CDA" w:rsidRPr="00777CDA">
        <w:t xml:space="preserve"> </w:t>
      </w:r>
      <w:r w:rsidR="00777CDA" w:rsidRPr="00777CDA">
        <w:rPr>
          <w:rFonts w:eastAsia="宋体"/>
          <w:lang w:eastAsia="zh-CN"/>
        </w:rPr>
        <w:t>UE-specific N</w:t>
      </w:r>
      <w:r w:rsidR="00777CDA" w:rsidRPr="00777CDA">
        <w:rPr>
          <w:rFonts w:eastAsia="宋体"/>
          <w:vertAlign w:val="subscript"/>
          <w:lang w:eastAsia="zh-CN"/>
        </w:rPr>
        <w:t>TA, UE-specific</w:t>
      </w:r>
      <w:r w:rsidR="00777CDA">
        <w:rPr>
          <w:rFonts w:eastAsia="宋体"/>
          <w:lang w:eastAsia="zh-CN"/>
        </w:rPr>
        <w:t xml:space="preserve"> related information (i.e., RTT between UE and </w:t>
      </w:r>
      <w:r w:rsidR="00777CDA" w:rsidRPr="00777CDA">
        <w:rPr>
          <w:rFonts w:eastAsia="宋体"/>
          <w:lang w:eastAsia="zh-CN"/>
        </w:rPr>
        <w:t>satellite</w:t>
      </w:r>
      <w:r w:rsidR="00777CDA">
        <w:rPr>
          <w:rFonts w:eastAsia="宋体"/>
          <w:lang w:eastAsia="zh-CN"/>
        </w:rPr>
        <w:t>).</w:t>
      </w:r>
      <w:r w:rsidR="00777CDA" w:rsidRPr="00777CDA">
        <w:t xml:space="preserve"> </w:t>
      </w:r>
      <w:r w:rsidR="00777CDA">
        <w:t xml:space="preserve">Reporting </w:t>
      </w:r>
      <w:r w:rsidR="00777CDA" w:rsidRPr="00777CDA">
        <w:rPr>
          <w:rFonts w:eastAsia="宋体"/>
          <w:lang w:eastAsia="zh-CN"/>
        </w:rPr>
        <w:t>UE-specific full TA applicable to UL transmission</w:t>
      </w:r>
      <w:r w:rsidR="00777CDA">
        <w:rPr>
          <w:rFonts w:eastAsia="宋体"/>
          <w:lang w:eastAsia="zh-CN"/>
        </w:rPr>
        <w:t xml:space="preserve"> </w:t>
      </w:r>
      <w:r w:rsidR="00777CDA" w:rsidRPr="00777CDA">
        <w:rPr>
          <w:rFonts w:eastAsia="宋体"/>
          <w:lang w:eastAsia="zh-CN"/>
        </w:rPr>
        <w:t>will bring unnecessary signaling overhead</w:t>
      </w:r>
      <w:r w:rsidR="00777CDA">
        <w:rPr>
          <w:rFonts w:eastAsia="宋体"/>
          <w:lang w:eastAsia="zh-CN"/>
        </w:rPr>
        <w:t>, since common TA is known by UE and gNB.</w:t>
      </w:r>
      <w:r w:rsidR="00062145">
        <w:rPr>
          <w:rFonts w:eastAsia="宋体"/>
          <w:lang w:eastAsia="zh-CN"/>
        </w:rPr>
        <w:t xml:space="preserve"> Therefore, </w:t>
      </w:r>
      <w:r w:rsidR="00062145" w:rsidRPr="00062145">
        <w:rPr>
          <w:rFonts w:eastAsia="宋体"/>
          <w:lang w:eastAsia="zh-CN"/>
        </w:rPr>
        <w:t>report</w:t>
      </w:r>
      <w:r w:rsidR="00062145">
        <w:rPr>
          <w:rFonts w:eastAsia="宋体"/>
          <w:lang w:eastAsia="zh-CN"/>
        </w:rPr>
        <w:t>ing</w:t>
      </w:r>
      <w:r w:rsidR="00062145" w:rsidRPr="00062145">
        <w:rPr>
          <w:rFonts w:eastAsia="宋体"/>
          <w:lang w:eastAsia="zh-CN"/>
        </w:rPr>
        <w:t xml:space="preserve"> UE-specific NT</w:t>
      </w:r>
      <w:r w:rsidR="00062145" w:rsidRPr="00062145">
        <w:rPr>
          <w:rFonts w:eastAsia="宋体"/>
          <w:vertAlign w:val="subscript"/>
          <w:lang w:eastAsia="zh-CN"/>
        </w:rPr>
        <w:t>A, UE-specific</w:t>
      </w:r>
      <w:r w:rsidR="00062145" w:rsidRPr="00062145">
        <w:rPr>
          <w:rFonts w:eastAsia="宋体"/>
          <w:lang w:eastAsia="zh-CN"/>
        </w:rPr>
        <w:t xml:space="preserve"> related information</w:t>
      </w:r>
      <w:r w:rsidR="00062145">
        <w:rPr>
          <w:rFonts w:eastAsia="宋体"/>
          <w:lang w:eastAsia="zh-CN"/>
        </w:rPr>
        <w:t xml:space="preserve"> should be supported. </w:t>
      </w:r>
      <w:r w:rsidR="002B65CA">
        <w:rPr>
          <w:rFonts w:eastAsia="宋体"/>
          <w:lang w:eastAsia="zh-CN"/>
        </w:rPr>
        <w:t>I</w:t>
      </w:r>
      <w:r w:rsidR="00062145">
        <w:rPr>
          <w:rFonts w:eastAsia="宋体"/>
          <w:lang w:eastAsia="zh-CN"/>
        </w:rPr>
        <w:t xml:space="preserve">n order to further reduce </w:t>
      </w:r>
      <w:r w:rsidR="00062145" w:rsidRPr="00062145">
        <w:rPr>
          <w:rFonts w:eastAsia="宋体"/>
          <w:lang w:eastAsia="zh-CN"/>
        </w:rPr>
        <w:t>signaling overhead</w:t>
      </w:r>
      <w:r w:rsidR="00062145">
        <w:rPr>
          <w:rFonts w:eastAsia="宋体"/>
          <w:lang w:eastAsia="zh-CN"/>
        </w:rPr>
        <w:t>,</w:t>
      </w:r>
      <w:r w:rsidR="00062145" w:rsidRPr="00062145">
        <w:t xml:space="preserve"> </w:t>
      </w:r>
      <w:r w:rsidR="00062145">
        <w:rPr>
          <w:rFonts w:eastAsia="宋体"/>
          <w:lang w:eastAsia="zh-CN"/>
        </w:rPr>
        <w:t>d</w:t>
      </w:r>
      <w:r w:rsidR="00062145" w:rsidRPr="00062145">
        <w:rPr>
          <w:rFonts w:eastAsia="宋体"/>
          <w:lang w:eastAsia="zh-CN"/>
        </w:rPr>
        <w:t>ifferential indication</w:t>
      </w:r>
      <w:r w:rsidR="00062145">
        <w:rPr>
          <w:rFonts w:eastAsia="宋体"/>
          <w:lang w:eastAsia="zh-CN"/>
        </w:rPr>
        <w:t xml:space="preserve"> of </w:t>
      </w:r>
      <w:r w:rsidR="00062145" w:rsidRPr="00062145">
        <w:rPr>
          <w:rFonts w:eastAsia="宋体"/>
          <w:lang w:eastAsia="zh-CN"/>
        </w:rPr>
        <w:t>UE-specific NT</w:t>
      </w:r>
      <w:r w:rsidR="00062145" w:rsidRPr="00062145">
        <w:rPr>
          <w:rFonts w:eastAsia="宋体"/>
          <w:vertAlign w:val="subscript"/>
          <w:lang w:eastAsia="zh-CN"/>
        </w:rPr>
        <w:t>A, UE-specific</w:t>
      </w:r>
      <w:r w:rsidR="00062145">
        <w:rPr>
          <w:rFonts w:eastAsia="宋体"/>
          <w:lang w:eastAsia="zh-CN"/>
        </w:rPr>
        <w:t xml:space="preserve"> should be considered. </w:t>
      </w:r>
      <w:r w:rsidR="002B65CA">
        <w:rPr>
          <w:rFonts w:eastAsia="宋体"/>
          <w:lang w:eastAsia="zh-CN"/>
        </w:rPr>
        <w:t>The g</w:t>
      </w:r>
      <w:r w:rsidR="00062145" w:rsidRPr="00062145">
        <w:rPr>
          <w:rFonts w:eastAsia="宋体"/>
          <w:lang w:eastAsia="zh-CN"/>
        </w:rPr>
        <w:t>ranularity</w:t>
      </w:r>
      <w:r w:rsidR="002B65CA">
        <w:rPr>
          <w:rFonts w:eastAsia="宋体"/>
          <w:lang w:eastAsia="zh-CN"/>
        </w:rPr>
        <w:t xml:space="preserve"> of </w:t>
      </w:r>
      <w:r w:rsidR="002B65CA" w:rsidRPr="002B65CA">
        <w:rPr>
          <w:rFonts w:eastAsia="宋体"/>
          <w:lang w:eastAsia="zh-CN"/>
        </w:rPr>
        <w:t>reporting UE-specific N</w:t>
      </w:r>
      <w:r w:rsidR="002B65CA" w:rsidRPr="002B65CA">
        <w:rPr>
          <w:rFonts w:eastAsia="宋体"/>
          <w:vertAlign w:val="subscript"/>
          <w:lang w:eastAsia="zh-CN"/>
        </w:rPr>
        <w:t>TA, UE-specific</w:t>
      </w:r>
      <w:r w:rsidR="002B65CA">
        <w:rPr>
          <w:rFonts w:eastAsia="宋体"/>
          <w:lang w:eastAsia="zh-CN"/>
        </w:rPr>
        <w:t xml:space="preserve"> should be same as the g</w:t>
      </w:r>
      <w:r w:rsidR="002B65CA" w:rsidRPr="00062145">
        <w:rPr>
          <w:rFonts w:eastAsia="宋体"/>
          <w:lang w:eastAsia="zh-CN"/>
        </w:rPr>
        <w:t>ranularity</w:t>
      </w:r>
      <w:r w:rsidR="002B65CA">
        <w:rPr>
          <w:rFonts w:eastAsia="宋体"/>
          <w:lang w:eastAsia="zh-CN"/>
        </w:rPr>
        <w:t xml:space="preserve"> of K_offset.</w:t>
      </w:r>
      <w:bookmarkStart w:id="1" w:name="_GoBack"/>
      <w:bookmarkEnd w:id="1"/>
    </w:p>
    <w:p w14:paraId="31D84DE9" w14:textId="3C294DF0" w:rsidR="00731F8E" w:rsidRPr="002B65CA" w:rsidRDefault="002B65CA" w:rsidP="007746DC">
      <w:pPr>
        <w:rPr>
          <w:rFonts w:eastAsia="宋体"/>
          <w:b/>
          <w:i/>
          <w:lang w:eastAsia="zh-CN"/>
        </w:rPr>
      </w:pPr>
      <w:bookmarkStart w:id="2" w:name="OLE_LINK1"/>
      <w:bookmarkStart w:id="3" w:name="OLE_LINK2"/>
      <w:r w:rsidRPr="002B65CA">
        <w:rPr>
          <w:rFonts w:hint="eastAsia"/>
          <w:b/>
          <w:i/>
          <w:lang w:eastAsia="zh-CN"/>
        </w:rPr>
        <w:t xml:space="preserve">Proposal 1: </w:t>
      </w:r>
      <w:r w:rsidRPr="002B65CA">
        <w:rPr>
          <w:rFonts w:eastAsia="宋体" w:hint="eastAsia"/>
          <w:b/>
          <w:i/>
          <w:lang w:eastAsia="zh-CN"/>
        </w:rPr>
        <w:t xml:space="preserve">For </w:t>
      </w:r>
      <w:r w:rsidRPr="002B65CA">
        <w:rPr>
          <w:rFonts w:eastAsia="宋体"/>
          <w:b/>
          <w:i/>
          <w:lang w:eastAsia="zh-CN"/>
        </w:rPr>
        <w:t>UE-specific TA reporting, UE only need to report</w:t>
      </w:r>
      <w:r w:rsidRPr="002B65CA">
        <w:rPr>
          <w:b/>
          <w:i/>
        </w:rPr>
        <w:t xml:space="preserve"> </w:t>
      </w:r>
      <w:r w:rsidRPr="002B65CA">
        <w:rPr>
          <w:rFonts w:eastAsia="宋体"/>
          <w:b/>
          <w:i/>
          <w:lang w:eastAsia="zh-CN"/>
        </w:rPr>
        <w:t>UE-specific N</w:t>
      </w:r>
      <w:r w:rsidRPr="002B65CA">
        <w:rPr>
          <w:rFonts w:eastAsia="宋体"/>
          <w:b/>
          <w:i/>
          <w:vertAlign w:val="subscript"/>
          <w:lang w:eastAsia="zh-CN"/>
        </w:rPr>
        <w:t>TA, UE-specific</w:t>
      </w:r>
      <w:r w:rsidRPr="002B65CA">
        <w:rPr>
          <w:rFonts w:eastAsia="宋体"/>
          <w:b/>
          <w:i/>
          <w:lang w:eastAsia="zh-CN"/>
        </w:rPr>
        <w:t xml:space="preserve"> related information (i.e., RTT between UE and satellite).</w:t>
      </w:r>
    </w:p>
    <w:p w14:paraId="783B37CB" w14:textId="77777777" w:rsidR="002B65CA" w:rsidRPr="002B65CA" w:rsidRDefault="002B65CA" w:rsidP="002B65CA">
      <w:pPr>
        <w:autoSpaceDE/>
        <w:autoSpaceDN/>
        <w:adjustRightInd/>
        <w:snapToGrid/>
        <w:rPr>
          <w:rFonts w:eastAsia="宋体"/>
          <w:b/>
          <w:i/>
          <w:lang w:eastAsia="zh-CN"/>
        </w:rPr>
      </w:pPr>
      <w:r w:rsidRPr="002B65CA">
        <w:rPr>
          <w:rFonts w:eastAsia="宋体"/>
          <w:b/>
          <w:i/>
          <w:lang w:eastAsia="zh-CN"/>
        </w:rPr>
        <w:t>Proposal 2: The granularity of reporting UE-specific N</w:t>
      </w:r>
      <w:r w:rsidRPr="002B65CA">
        <w:rPr>
          <w:rFonts w:eastAsia="宋体"/>
          <w:b/>
          <w:i/>
          <w:vertAlign w:val="subscript"/>
          <w:lang w:eastAsia="zh-CN"/>
        </w:rPr>
        <w:t>TA, UE-specific</w:t>
      </w:r>
      <w:r w:rsidRPr="002B65CA">
        <w:rPr>
          <w:rFonts w:eastAsia="宋体"/>
          <w:b/>
          <w:i/>
          <w:lang w:eastAsia="zh-CN"/>
        </w:rPr>
        <w:t xml:space="preserve"> should be same as the granularity of K_offset.</w:t>
      </w:r>
    </w:p>
    <w:bookmarkEnd w:id="2"/>
    <w:bookmarkEnd w:id="3"/>
    <w:p w14:paraId="179FC53C" w14:textId="675E487D" w:rsidR="002B65CA" w:rsidRPr="002B65CA" w:rsidRDefault="002B65CA" w:rsidP="007746DC">
      <w:pPr>
        <w:rPr>
          <w:lang w:eastAsia="zh-CN"/>
        </w:rPr>
      </w:pPr>
    </w:p>
    <w:p w14:paraId="1AA49B39" w14:textId="77777777" w:rsidR="002B65CA" w:rsidRPr="00C468EF" w:rsidRDefault="002B65CA" w:rsidP="007746DC">
      <w:pPr>
        <w:rPr>
          <w:lang w:eastAsia="zh-CN"/>
        </w:rPr>
      </w:pPr>
    </w:p>
    <w:p w14:paraId="6C271E64" w14:textId="586F7E2D" w:rsidR="005F0641" w:rsidRPr="005F0641" w:rsidRDefault="005F0641" w:rsidP="005F0641">
      <w:pPr>
        <w:keepNext/>
        <w:numPr>
          <w:ilvl w:val="0"/>
          <w:numId w:val="1"/>
        </w:numPr>
        <w:spacing w:before="120"/>
        <w:outlineLvl w:val="0"/>
        <w:rPr>
          <w:b/>
          <w:bCs/>
          <w:sz w:val="28"/>
          <w:szCs w:val="28"/>
          <w:lang w:eastAsia="zh-CN"/>
        </w:rPr>
      </w:pPr>
      <w:r w:rsidRPr="005F0641">
        <w:rPr>
          <w:b/>
          <w:bCs/>
          <w:sz w:val="28"/>
          <w:szCs w:val="28"/>
          <w:lang w:eastAsia="zh-CN"/>
        </w:rPr>
        <w:t>NPUSCH using PUR</w:t>
      </w:r>
    </w:p>
    <w:p w14:paraId="33C5DD10" w14:textId="37BB3B88" w:rsidR="005F0641" w:rsidRDefault="0017550B" w:rsidP="00C468EF">
      <w:pPr>
        <w:autoSpaceDE/>
        <w:autoSpaceDN/>
        <w:adjustRightInd/>
        <w:snapToGrid/>
        <w:rPr>
          <w:rFonts w:eastAsia="宋体"/>
          <w:lang w:eastAsia="zh-CN"/>
        </w:rPr>
      </w:pPr>
      <w:r w:rsidRPr="0017550B">
        <w:rPr>
          <w:rFonts w:eastAsia="宋体"/>
          <w:lang w:eastAsia="zh-CN"/>
        </w:rPr>
        <w:t xml:space="preserve">In RAN1#106_e, the following </w:t>
      </w:r>
      <w:r w:rsidR="00FB3E19" w:rsidRPr="00FB3E19">
        <w:rPr>
          <w:rFonts w:eastAsia="宋体"/>
          <w:lang w:eastAsia="zh-CN"/>
        </w:rPr>
        <w:t>FL Recommendation</w:t>
      </w:r>
      <w:r>
        <w:rPr>
          <w:rFonts w:eastAsia="宋体"/>
          <w:lang w:eastAsia="zh-CN"/>
        </w:rPr>
        <w:t xml:space="preserve"> on NPUSCH transmission using PUR</w:t>
      </w:r>
      <w:r w:rsidRPr="0017550B">
        <w:rPr>
          <w:rFonts w:eastAsia="宋体"/>
          <w:lang w:eastAsia="zh-CN"/>
        </w:rPr>
        <w:t xml:space="preserve"> had been </w:t>
      </w:r>
      <w:r w:rsidR="006B0D5D">
        <w:rPr>
          <w:rFonts w:eastAsia="宋体"/>
          <w:lang w:eastAsia="zh-CN"/>
        </w:rPr>
        <w:t>made</w:t>
      </w:r>
      <w:r w:rsidRPr="0017550B">
        <w:rPr>
          <w:rFonts w:eastAsia="宋体"/>
          <w:lang w:eastAsia="zh-CN"/>
        </w:rPr>
        <w:t xml:space="preserve"> [</w:t>
      </w:r>
      <w:r w:rsidR="008C7415">
        <w:rPr>
          <w:rFonts w:eastAsia="宋体"/>
          <w:lang w:eastAsia="zh-CN"/>
        </w:rPr>
        <w:t>3</w:t>
      </w:r>
      <w:r w:rsidRPr="0017550B">
        <w:rPr>
          <w:rFonts w:eastAsia="宋体"/>
          <w:lang w:eastAsia="zh-CN"/>
        </w:rPr>
        <w:t>].</w:t>
      </w:r>
    </w:p>
    <w:tbl>
      <w:tblPr>
        <w:tblStyle w:val="aff1"/>
        <w:tblW w:w="0" w:type="auto"/>
        <w:tblLook w:val="04A0" w:firstRow="1" w:lastRow="0" w:firstColumn="1" w:lastColumn="0" w:noHBand="0" w:noVBand="1"/>
      </w:tblPr>
      <w:tblGrid>
        <w:gridCol w:w="9307"/>
      </w:tblGrid>
      <w:tr w:rsidR="006B0D5D" w14:paraId="6385E491" w14:textId="77777777" w:rsidTr="006B0D5D">
        <w:tc>
          <w:tcPr>
            <w:tcW w:w="9307" w:type="dxa"/>
          </w:tcPr>
          <w:p w14:paraId="16DFCB0B" w14:textId="77777777" w:rsidR="006B0D5D" w:rsidRPr="006B0D5D" w:rsidRDefault="006B0D5D" w:rsidP="006B0D5D">
            <w:pPr>
              <w:autoSpaceDE/>
              <w:autoSpaceDN/>
              <w:adjustRightInd/>
              <w:snapToGrid/>
              <w:spacing w:after="0"/>
              <w:jc w:val="left"/>
              <w:rPr>
                <w:rFonts w:ascii="Times" w:eastAsia="Batang" w:hAnsi="Times"/>
                <w:sz w:val="20"/>
                <w:szCs w:val="24"/>
                <w:u w:val="single"/>
                <w:lang w:val="en-GB"/>
              </w:rPr>
            </w:pPr>
            <w:bookmarkStart w:id="4" w:name="OLE_LINK11"/>
            <w:bookmarkStart w:id="5" w:name="OLE_LINK12"/>
            <w:r w:rsidRPr="006B0D5D">
              <w:rPr>
                <w:rFonts w:ascii="Times" w:eastAsia="Batang" w:hAnsi="Times"/>
                <w:sz w:val="20"/>
                <w:szCs w:val="24"/>
                <w:highlight w:val="cyan"/>
                <w:u w:val="single"/>
                <w:lang w:val="en-GB"/>
              </w:rPr>
              <w:t>FL Recommendation</w:t>
            </w:r>
          </w:p>
          <w:bookmarkEnd w:id="4"/>
          <w:bookmarkEnd w:id="5"/>
          <w:p w14:paraId="227D31CD" w14:textId="77777777" w:rsidR="006B0D5D" w:rsidRPr="006B0D5D" w:rsidRDefault="006B0D5D" w:rsidP="006B0D5D">
            <w:pPr>
              <w:spacing w:after="0"/>
              <w:rPr>
                <w:rFonts w:eastAsia="宋体"/>
              </w:rPr>
            </w:pPr>
            <w:r w:rsidRPr="006B0D5D">
              <w:rPr>
                <w:rFonts w:eastAsia="宋体"/>
              </w:rPr>
              <w:t>The enhancement of the timing relationship between NPUSCH/PUSCH and NPDCCH/MPDCCH UE-specific search space by PUR-RNTI</w:t>
            </w:r>
          </w:p>
          <w:p w14:paraId="37EC3FEB" w14:textId="77777777" w:rsidR="006B0D5D" w:rsidRPr="006B0D5D" w:rsidRDefault="006B0D5D" w:rsidP="006B0D5D">
            <w:pPr>
              <w:numPr>
                <w:ilvl w:val="0"/>
                <w:numId w:val="46"/>
              </w:numPr>
              <w:overflowPunct w:val="0"/>
              <w:autoSpaceDE/>
              <w:autoSpaceDN/>
              <w:adjustRightInd/>
              <w:snapToGrid/>
              <w:spacing w:before="100" w:beforeAutospacing="1" w:after="0" w:afterAutospacing="1"/>
              <w:contextualSpacing/>
              <w:jc w:val="left"/>
              <w:rPr>
                <w:rFonts w:ascii="Segoe UI" w:eastAsia="Times New Roman" w:hAnsi="Segoe UI" w:cs="Segoe UI"/>
                <w:sz w:val="21"/>
                <w:szCs w:val="21"/>
                <w:lang w:eastAsia="en-GB"/>
              </w:rPr>
            </w:pPr>
            <w:r w:rsidRPr="006B0D5D">
              <w:rPr>
                <w:rFonts w:ascii="Segoe UI" w:eastAsia="Times New Roman" w:hAnsi="Segoe UI" w:cs="Segoe UI"/>
                <w:sz w:val="21"/>
                <w:szCs w:val="21"/>
                <w:lang w:eastAsia="en-GB"/>
              </w:rPr>
              <w:t xml:space="preserve">whether there needs to be an update to the timing relationship (given Xingqin’s explanation for why not) </w:t>
            </w:r>
          </w:p>
          <w:p w14:paraId="7D5CE7EB" w14:textId="77777777" w:rsidR="006B0D5D" w:rsidRPr="006B0D5D" w:rsidRDefault="006B0D5D" w:rsidP="006B0D5D">
            <w:pPr>
              <w:numPr>
                <w:ilvl w:val="0"/>
                <w:numId w:val="46"/>
              </w:numPr>
              <w:overflowPunct w:val="0"/>
              <w:autoSpaceDE/>
              <w:autoSpaceDN/>
              <w:adjustRightInd/>
              <w:snapToGrid/>
              <w:spacing w:before="100" w:beforeAutospacing="1" w:after="0" w:afterAutospacing="1"/>
              <w:contextualSpacing/>
              <w:jc w:val="left"/>
              <w:rPr>
                <w:rFonts w:ascii="Segoe UI" w:eastAsia="Times New Roman" w:hAnsi="Segoe UI" w:cs="Segoe UI"/>
                <w:sz w:val="21"/>
                <w:szCs w:val="21"/>
                <w:lang w:eastAsia="en-GB"/>
              </w:rPr>
            </w:pPr>
            <w:r w:rsidRPr="006B0D5D">
              <w:rPr>
                <w:rFonts w:ascii="Segoe UI" w:eastAsia="Times New Roman" w:hAnsi="Segoe UI" w:cs="Segoe UI"/>
                <w:sz w:val="21"/>
                <w:szCs w:val="21"/>
                <w:lang w:eastAsia="en-GB"/>
              </w:rPr>
              <w:t xml:space="preserve">What other changes (e.g. the LEO issue, TA validation etc) are needed to support PUR in IoT NTN Rel16 and whether such changes </w:t>
            </w:r>
            <w:r w:rsidRPr="006B0D5D">
              <w:rPr>
                <w:rFonts w:ascii="Calibri" w:eastAsia="宋体" w:hAnsi="Calibri"/>
                <w:b/>
                <w:bCs/>
                <w:sz w:val="20"/>
                <w:szCs w:val="20"/>
              </w:rPr>
              <w:t xml:space="preserve">‘are not small’ </w:t>
            </w:r>
            <w:r w:rsidRPr="006B0D5D">
              <w:rPr>
                <w:rFonts w:ascii="Calibri" w:eastAsia="宋体" w:hAnsi="Calibri"/>
                <w:sz w:val="20"/>
                <w:szCs w:val="20"/>
              </w:rPr>
              <w:t xml:space="preserve">as RAN2 puts it. </w:t>
            </w:r>
          </w:p>
          <w:p w14:paraId="62C610F8" w14:textId="3387F3E2" w:rsidR="006B0D5D" w:rsidRPr="006B0D5D" w:rsidRDefault="006B0D5D" w:rsidP="00C468EF">
            <w:pPr>
              <w:numPr>
                <w:ilvl w:val="0"/>
                <w:numId w:val="46"/>
              </w:numPr>
              <w:overflowPunct w:val="0"/>
              <w:autoSpaceDE/>
              <w:autoSpaceDN/>
              <w:adjustRightInd/>
              <w:snapToGrid/>
              <w:spacing w:after="160" w:line="259" w:lineRule="auto"/>
              <w:contextualSpacing/>
              <w:jc w:val="left"/>
              <w:rPr>
                <w:rFonts w:ascii="Calibri" w:eastAsia="宋体" w:hAnsi="Calibri"/>
                <w:sz w:val="20"/>
                <w:szCs w:val="20"/>
              </w:rPr>
            </w:pPr>
            <w:r w:rsidRPr="006B0D5D">
              <w:rPr>
                <w:rFonts w:ascii="Segoe UI" w:eastAsia="Times New Roman" w:hAnsi="Segoe UI" w:cs="Segoe UI"/>
                <w:sz w:val="21"/>
                <w:szCs w:val="21"/>
                <w:lang w:eastAsia="en-GB"/>
              </w:rPr>
              <w:t>FSS: other issues needing common understanding</w:t>
            </w:r>
          </w:p>
        </w:tc>
      </w:tr>
    </w:tbl>
    <w:p w14:paraId="2FC03722" w14:textId="2F5FAAB8" w:rsidR="003E0DF7" w:rsidRPr="003E0DF7" w:rsidRDefault="00E75F7B" w:rsidP="00C468EF">
      <w:pPr>
        <w:autoSpaceDE/>
        <w:autoSpaceDN/>
        <w:adjustRightInd/>
        <w:snapToGrid/>
        <w:rPr>
          <w:rFonts w:eastAsia="宋体"/>
          <w:lang w:eastAsia="zh-CN"/>
        </w:rPr>
      </w:pPr>
      <w:r>
        <w:rPr>
          <w:rFonts w:eastAsia="宋体"/>
          <w:lang w:eastAsia="zh-CN"/>
        </w:rPr>
        <w:t xml:space="preserve">For PUR transmission in R16, the </w:t>
      </w:r>
      <w:r w:rsidRPr="00E75F7B">
        <w:rPr>
          <w:rFonts w:eastAsia="宋体"/>
          <w:lang w:eastAsia="zh-CN"/>
        </w:rPr>
        <w:t>fundamental assumptions was a “valid timing advance” that potentially holds for long periods</w:t>
      </w:r>
      <w:r w:rsidR="00750934">
        <w:rPr>
          <w:rFonts w:eastAsia="宋体"/>
          <w:lang w:eastAsia="zh-CN"/>
        </w:rPr>
        <w:t xml:space="preserve"> and </w:t>
      </w:r>
      <w:r w:rsidR="00750934" w:rsidRPr="00750934">
        <w:rPr>
          <w:rFonts w:eastAsia="宋体"/>
          <w:lang w:eastAsia="zh-CN"/>
        </w:rPr>
        <w:t>the UE considers the TA for the previous serving cell as invalid if the serving cell changes</w:t>
      </w:r>
      <w:r w:rsidR="00750934">
        <w:rPr>
          <w:rFonts w:eastAsia="宋体"/>
          <w:lang w:eastAsia="zh-CN"/>
        </w:rPr>
        <w:t>. In LEO, d</w:t>
      </w:r>
      <w:r w:rsidR="00750934" w:rsidRPr="00750934">
        <w:rPr>
          <w:rFonts w:eastAsia="宋体"/>
          <w:lang w:eastAsia="zh-CN"/>
        </w:rPr>
        <w:t xml:space="preserve">ue to the rapid movement of satellites, the </w:t>
      </w:r>
      <w:r w:rsidR="00750934">
        <w:rPr>
          <w:rFonts w:eastAsia="宋体"/>
          <w:lang w:eastAsia="zh-CN"/>
        </w:rPr>
        <w:t>serving cell</w:t>
      </w:r>
      <w:r w:rsidR="00750934" w:rsidRPr="00750934">
        <w:rPr>
          <w:rFonts w:eastAsia="宋体"/>
          <w:lang w:eastAsia="zh-CN"/>
        </w:rPr>
        <w:t xml:space="preserve"> will change frequently</w:t>
      </w:r>
      <w:r w:rsidR="00750934">
        <w:rPr>
          <w:rFonts w:eastAsia="宋体"/>
          <w:lang w:eastAsia="zh-CN"/>
        </w:rPr>
        <w:t xml:space="preserve"> in idle mode. Therefore, s</w:t>
      </w:r>
      <w:r w:rsidR="00750934" w:rsidRPr="00750934">
        <w:rPr>
          <w:rFonts w:eastAsia="宋体"/>
          <w:lang w:eastAsia="zh-CN"/>
        </w:rPr>
        <w:t>upporting PUR transmission in LEO scenarios requires additional enhancements</w:t>
      </w:r>
      <w:r w:rsidR="00750934">
        <w:rPr>
          <w:rFonts w:eastAsia="宋体"/>
          <w:lang w:eastAsia="zh-CN"/>
        </w:rPr>
        <w:t xml:space="preserve">. However, </w:t>
      </w:r>
      <w:r w:rsidR="009D2C17">
        <w:rPr>
          <w:rFonts w:eastAsia="宋体"/>
          <w:lang w:eastAsia="zh-CN"/>
        </w:rPr>
        <w:t>f</w:t>
      </w:r>
      <w:r>
        <w:rPr>
          <w:rFonts w:eastAsia="宋体"/>
          <w:lang w:eastAsia="zh-CN"/>
        </w:rPr>
        <w:t xml:space="preserve">or GEO, </w:t>
      </w:r>
      <w:r w:rsidR="00750934">
        <w:rPr>
          <w:rFonts w:eastAsia="宋体"/>
          <w:lang w:eastAsia="zh-CN"/>
        </w:rPr>
        <w:t>t</w:t>
      </w:r>
      <w:r w:rsidR="00750934" w:rsidRPr="00750934">
        <w:rPr>
          <w:rFonts w:eastAsia="宋体"/>
          <w:lang w:eastAsia="zh-CN"/>
        </w:rPr>
        <w:t>he satellite is relatively stationary with the UE, which is the same as terrestrial communication</w:t>
      </w:r>
      <w:r w:rsidR="00750934">
        <w:rPr>
          <w:rFonts w:eastAsia="宋体"/>
          <w:lang w:eastAsia="zh-CN"/>
        </w:rPr>
        <w:t>. T</w:t>
      </w:r>
      <w:r>
        <w:rPr>
          <w:rFonts w:eastAsia="宋体"/>
          <w:lang w:eastAsia="zh-CN"/>
        </w:rPr>
        <w:t>he change t</w:t>
      </w:r>
      <w:r w:rsidRPr="00E75F7B">
        <w:rPr>
          <w:rFonts w:eastAsia="宋体"/>
          <w:lang w:eastAsia="zh-CN"/>
        </w:rPr>
        <w:t>o support PUR</w:t>
      </w:r>
      <w:r w:rsidR="00750934">
        <w:rPr>
          <w:rFonts w:eastAsia="宋体"/>
          <w:lang w:eastAsia="zh-CN"/>
        </w:rPr>
        <w:t xml:space="preserve"> in GEO</w:t>
      </w:r>
      <w:r w:rsidRPr="00E75F7B">
        <w:rPr>
          <w:rFonts w:eastAsia="宋体"/>
          <w:lang w:eastAsia="zh-CN"/>
        </w:rPr>
        <w:t xml:space="preserve"> </w:t>
      </w:r>
      <w:r w:rsidR="00750934">
        <w:rPr>
          <w:rFonts w:eastAsia="宋体"/>
          <w:lang w:eastAsia="zh-CN"/>
        </w:rPr>
        <w:t>is</w:t>
      </w:r>
      <w:r w:rsidRPr="00E75F7B">
        <w:rPr>
          <w:rFonts w:eastAsia="宋体"/>
          <w:lang w:eastAsia="zh-CN"/>
        </w:rPr>
        <w:t xml:space="preserve"> small</w:t>
      </w:r>
      <w:r w:rsidR="00750934">
        <w:rPr>
          <w:rFonts w:eastAsia="宋体"/>
          <w:lang w:eastAsia="zh-CN"/>
        </w:rPr>
        <w:t xml:space="preserve">. </w:t>
      </w:r>
      <w:r w:rsidR="00750934" w:rsidRPr="00750934">
        <w:rPr>
          <w:rFonts w:eastAsia="宋体"/>
          <w:lang w:eastAsia="zh-CN"/>
        </w:rPr>
        <w:t xml:space="preserve">In the WID of </w:t>
      </w:r>
      <w:r w:rsidR="00750934">
        <w:rPr>
          <w:rFonts w:eastAsia="宋体"/>
          <w:lang w:eastAsia="zh-CN"/>
        </w:rPr>
        <w:t xml:space="preserve">R17 </w:t>
      </w:r>
      <w:r w:rsidR="00750934" w:rsidRPr="00750934">
        <w:rPr>
          <w:rFonts w:eastAsia="宋体"/>
          <w:lang w:eastAsia="zh-CN"/>
        </w:rPr>
        <w:t>IOT NTN, it states that all cellular IoT features specified up to Rel-16 are supported for IoT NTN unless problems are found.</w:t>
      </w:r>
      <w:r w:rsidR="00750934">
        <w:rPr>
          <w:rFonts w:eastAsia="宋体"/>
          <w:lang w:eastAsia="zh-CN"/>
        </w:rPr>
        <w:t xml:space="preserve"> In our view, PUR transmission should be supported in IOT NTN at least for GEO.</w:t>
      </w:r>
      <w:r w:rsidR="007F24CE">
        <w:rPr>
          <w:rFonts w:eastAsia="宋体"/>
          <w:lang w:eastAsia="zh-CN"/>
        </w:rPr>
        <w:t xml:space="preserve"> Therefore, we have the following two proposals.</w:t>
      </w:r>
    </w:p>
    <w:p w14:paraId="399A8EC0" w14:textId="13066932" w:rsidR="006B0D5D" w:rsidRPr="003E0DF7" w:rsidRDefault="003E0DF7" w:rsidP="00C468EF">
      <w:pPr>
        <w:autoSpaceDE/>
        <w:autoSpaceDN/>
        <w:adjustRightInd/>
        <w:snapToGrid/>
        <w:rPr>
          <w:rFonts w:eastAsia="宋体"/>
          <w:b/>
          <w:i/>
          <w:lang w:eastAsia="zh-CN"/>
        </w:rPr>
      </w:pPr>
      <w:r w:rsidRPr="003E0DF7">
        <w:rPr>
          <w:rFonts w:eastAsia="宋体" w:hint="eastAsia"/>
          <w:b/>
          <w:i/>
          <w:lang w:eastAsia="zh-CN"/>
        </w:rPr>
        <w:t xml:space="preserve">Proposal </w:t>
      </w:r>
      <w:r w:rsidR="002B65CA">
        <w:rPr>
          <w:rFonts w:eastAsia="宋体"/>
          <w:b/>
          <w:i/>
          <w:lang w:eastAsia="zh-CN"/>
        </w:rPr>
        <w:t>3</w:t>
      </w:r>
      <w:r w:rsidRPr="003E0DF7">
        <w:rPr>
          <w:rFonts w:eastAsia="宋体" w:hint="eastAsia"/>
          <w:b/>
          <w:i/>
          <w:lang w:eastAsia="zh-CN"/>
        </w:rPr>
        <w:t>:</w:t>
      </w:r>
      <w:r w:rsidRPr="003E0DF7">
        <w:rPr>
          <w:b/>
          <w:i/>
        </w:rPr>
        <w:t xml:space="preserve"> </w:t>
      </w:r>
      <w:r w:rsidRPr="003E0DF7">
        <w:rPr>
          <w:rFonts w:eastAsia="宋体"/>
          <w:b/>
          <w:i/>
          <w:lang w:eastAsia="zh-CN"/>
        </w:rPr>
        <w:t>For NB-IoT, if the UE has initiated an NPUSCH transmission using pre-configured uplink resource ending in subframe n, the time at which the UE shall start to monitor the NPDCCH UE-specific search space shall be delayed by UE-eNB RTT as compared to current specification.</w:t>
      </w:r>
    </w:p>
    <w:p w14:paraId="248D3FA4" w14:textId="76C11B8B" w:rsidR="003E0DF7" w:rsidRPr="003E0DF7" w:rsidRDefault="003E0DF7" w:rsidP="00C468EF">
      <w:pPr>
        <w:autoSpaceDE/>
        <w:autoSpaceDN/>
        <w:adjustRightInd/>
        <w:snapToGrid/>
        <w:rPr>
          <w:rFonts w:eastAsia="宋体"/>
          <w:b/>
          <w:i/>
          <w:lang w:eastAsia="zh-CN"/>
        </w:rPr>
      </w:pPr>
      <w:r w:rsidRPr="003E0DF7">
        <w:rPr>
          <w:rFonts w:eastAsia="宋体"/>
          <w:b/>
          <w:i/>
          <w:lang w:eastAsia="zh-CN"/>
        </w:rPr>
        <w:lastRenderedPageBreak/>
        <w:t xml:space="preserve">Proposal </w:t>
      </w:r>
      <w:r w:rsidR="002B65CA">
        <w:rPr>
          <w:rFonts w:eastAsia="宋体"/>
          <w:b/>
          <w:i/>
          <w:lang w:eastAsia="zh-CN"/>
        </w:rPr>
        <w:t>4</w:t>
      </w:r>
      <w:r w:rsidRPr="003E0DF7">
        <w:rPr>
          <w:rFonts w:eastAsia="宋体"/>
          <w:b/>
          <w:i/>
          <w:lang w:eastAsia="zh-CN"/>
        </w:rPr>
        <w:t>:</w:t>
      </w:r>
      <w:r w:rsidRPr="003E0DF7">
        <w:rPr>
          <w:b/>
          <w:i/>
        </w:rPr>
        <w:t xml:space="preserve"> </w:t>
      </w:r>
      <w:r w:rsidRPr="003E0DF7">
        <w:rPr>
          <w:rFonts w:eastAsia="宋体"/>
          <w:b/>
          <w:i/>
          <w:lang w:eastAsia="zh-CN"/>
        </w:rPr>
        <w:t>For eMTC, if the UE has initiated a PUSCH transmission using pre-configured uplink resource ending in subframe n, the time at which the UE shall start to monitor the MPDCCH UE-specific search space shall be delayed by UE-eNB RTT as compared to current specification.</w:t>
      </w:r>
    </w:p>
    <w:p w14:paraId="34014B3D" w14:textId="77777777" w:rsidR="005F0641" w:rsidRPr="003E0DF7" w:rsidRDefault="005F0641" w:rsidP="00C468EF">
      <w:pPr>
        <w:autoSpaceDE/>
        <w:autoSpaceDN/>
        <w:adjustRightInd/>
        <w:snapToGrid/>
        <w:rPr>
          <w:rFonts w:eastAsia="宋体"/>
          <w:lang w:eastAsia="zh-CN"/>
        </w:rPr>
      </w:pPr>
    </w:p>
    <w:p w14:paraId="2DEC9BB6" w14:textId="77777777" w:rsidR="00945FEA" w:rsidRPr="00920D8D" w:rsidRDefault="00945FEA" w:rsidP="00C468EF">
      <w:pPr>
        <w:rPr>
          <w:b/>
          <w:i/>
          <w:lang w:eastAsia="zh-CN"/>
        </w:rPr>
      </w:pPr>
    </w:p>
    <w:p w14:paraId="0630A47C" w14:textId="4F8D5EFD" w:rsidR="00C468EF" w:rsidRPr="00945FEA" w:rsidRDefault="00945FEA" w:rsidP="00945FEA">
      <w:pPr>
        <w:keepNext/>
        <w:numPr>
          <w:ilvl w:val="0"/>
          <w:numId w:val="1"/>
        </w:numPr>
        <w:spacing w:before="120"/>
        <w:outlineLvl w:val="0"/>
        <w:rPr>
          <w:b/>
          <w:bCs/>
          <w:sz w:val="28"/>
          <w:szCs w:val="28"/>
          <w:lang w:val="en-GB" w:eastAsia="zh-CN"/>
        </w:rPr>
      </w:pPr>
      <w:r w:rsidRPr="00945FEA">
        <w:rPr>
          <w:b/>
          <w:bCs/>
          <w:sz w:val="28"/>
          <w:szCs w:val="28"/>
          <w:lang w:val="en-GB" w:eastAsia="zh-CN"/>
        </w:rPr>
        <w:t>NPDCCH order to NPRACH</w:t>
      </w:r>
    </w:p>
    <w:p w14:paraId="7D81E0D4" w14:textId="02095EBD" w:rsidR="00945FEA" w:rsidRDefault="00CE0918" w:rsidP="00C468EF">
      <w:pPr>
        <w:rPr>
          <w:lang w:eastAsia="zh-CN"/>
        </w:rPr>
      </w:pPr>
      <w:r w:rsidRPr="00CE0918">
        <w:rPr>
          <w:lang w:eastAsia="zh-CN"/>
        </w:rPr>
        <w:t>In RAN1#106</w:t>
      </w:r>
      <w:r w:rsidR="00716DC5">
        <w:rPr>
          <w:lang w:eastAsia="zh-CN"/>
        </w:rPr>
        <w:t xml:space="preserve">_e, the following agreement on PDCCH order to </w:t>
      </w:r>
      <w:r w:rsidRPr="00CE0918">
        <w:rPr>
          <w:lang w:eastAsia="zh-CN"/>
        </w:rPr>
        <w:t>PRACH had been achieved in NR NTN</w:t>
      </w:r>
      <w:r>
        <w:rPr>
          <w:lang w:eastAsia="zh-CN"/>
        </w:rPr>
        <w:t xml:space="preserve"> </w:t>
      </w:r>
      <w:r w:rsidRPr="00CE0918">
        <w:rPr>
          <w:lang w:eastAsia="zh-CN"/>
        </w:rPr>
        <w:t>[</w:t>
      </w:r>
      <w:r w:rsidR="008C7415">
        <w:rPr>
          <w:lang w:eastAsia="zh-CN"/>
        </w:rPr>
        <w:t>2</w:t>
      </w:r>
      <w:r w:rsidRPr="00CE0918">
        <w:rPr>
          <w:lang w:eastAsia="zh-CN"/>
        </w:rPr>
        <w:t>].</w:t>
      </w:r>
    </w:p>
    <w:tbl>
      <w:tblPr>
        <w:tblStyle w:val="aff1"/>
        <w:tblW w:w="0" w:type="auto"/>
        <w:tblLook w:val="04A0" w:firstRow="1" w:lastRow="0" w:firstColumn="1" w:lastColumn="0" w:noHBand="0" w:noVBand="1"/>
      </w:tblPr>
      <w:tblGrid>
        <w:gridCol w:w="9307"/>
      </w:tblGrid>
      <w:tr w:rsidR="00945FEA" w:rsidRPr="00945FEA" w14:paraId="5FC65FBC" w14:textId="77777777" w:rsidTr="00945FEA">
        <w:tc>
          <w:tcPr>
            <w:tcW w:w="9307" w:type="dxa"/>
          </w:tcPr>
          <w:p w14:paraId="1379C696" w14:textId="77777777" w:rsidR="00945FEA" w:rsidRPr="00945FEA" w:rsidRDefault="00945FEA" w:rsidP="00945FEA">
            <w:pPr>
              <w:autoSpaceDE/>
              <w:autoSpaceDN/>
              <w:adjustRightInd/>
              <w:snapToGrid/>
              <w:spacing w:after="0"/>
              <w:jc w:val="left"/>
              <w:rPr>
                <w:rFonts w:ascii="Times" w:eastAsia="Batang" w:hAnsi="Times"/>
                <w:szCs w:val="24"/>
                <w:lang w:val="en-GB" w:eastAsia="x-none"/>
              </w:rPr>
            </w:pPr>
            <w:r w:rsidRPr="00945FEA">
              <w:rPr>
                <w:rFonts w:ascii="Times" w:eastAsia="Batang" w:hAnsi="Times"/>
                <w:szCs w:val="24"/>
                <w:highlight w:val="green"/>
                <w:lang w:val="en-GB" w:eastAsia="x-none"/>
              </w:rPr>
              <w:t>Agreement:</w:t>
            </w:r>
          </w:p>
          <w:p w14:paraId="41C4215D" w14:textId="0B1949F2" w:rsidR="00945FEA" w:rsidRPr="00945FEA" w:rsidRDefault="00945FEA" w:rsidP="00945FEA">
            <w:pPr>
              <w:autoSpaceDE/>
              <w:autoSpaceDN/>
              <w:adjustRightInd/>
              <w:snapToGrid/>
              <w:spacing w:after="0"/>
              <w:rPr>
                <w:rFonts w:ascii="Times" w:eastAsia="宋体" w:hAnsi="Times" w:cs="Times"/>
                <w:strike/>
                <w:szCs w:val="20"/>
                <w:lang w:eastAsia="x-none"/>
              </w:rPr>
            </w:pPr>
            <w:r w:rsidRPr="00945FEA">
              <w:rPr>
                <w:rFonts w:ascii="Times" w:eastAsia="Batang" w:hAnsi="Times" w:cs="Times"/>
                <w:szCs w:val="20"/>
                <w:lang w:val="en-GB" w:eastAsia="ja-JP"/>
              </w:rPr>
              <w:t>For</w:t>
            </w:r>
            <w:r w:rsidRPr="00945FEA">
              <w:rPr>
                <w:rFonts w:ascii="Times" w:eastAsia="Batang" w:hAnsi="Times" w:cs="Times"/>
                <w:szCs w:val="20"/>
                <w:lang w:val="en-GB"/>
              </w:rPr>
              <w:t xml:space="preserve"> </w:t>
            </w:r>
            <w:r w:rsidRPr="00945FEA">
              <w:rPr>
                <w:rFonts w:ascii="Times" w:eastAsia="Batang" w:hAnsi="Times" w:cs="Times"/>
                <w:szCs w:val="20"/>
                <w:lang w:val="en-GB" w:eastAsia="ja-JP"/>
              </w:rPr>
              <w:t xml:space="preserve">random access procedure initiated by a PDCCH order received in downlink slot </w:t>
            </w:r>
            <m:oMath>
              <m:r>
                <w:rPr>
                  <w:rFonts w:ascii="Cambria Math" w:hAnsi="Cambria Math"/>
                  <w:lang w:eastAsia="ja-JP"/>
                </w:rPr>
                <m:t>n</m:t>
              </m:r>
            </m:oMath>
            <w:r w:rsidRPr="00945FEA">
              <w:rPr>
                <w:rFonts w:ascii="Times" w:eastAsia="Batang" w:hAnsi="Times" w:cs="Times"/>
                <w:szCs w:val="20"/>
                <w:lang w:val="en-GB" w:eastAsia="ja-JP"/>
              </w:rPr>
              <w:t xml:space="preserve">, UE determines the </w:t>
            </w:r>
            <w:r w:rsidRPr="00945FEA">
              <w:rPr>
                <w:rFonts w:ascii="Times" w:eastAsia="Batang" w:hAnsi="Times" w:cs="Times"/>
                <w:szCs w:val="20"/>
                <w:lang w:val="en-GB"/>
              </w:rPr>
              <w:t xml:space="preserve">next available PRACH occasion after uplink slot </w:t>
            </w:r>
            <m:oMath>
              <m:r>
                <w:rPr>
                  <w:rFonts w:ascii="Cambria Math" w:hAnsi="Cambria Math"/>
                </w:rPr>
                <m:t>n+</m:t>
              </m:r>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945FEA">
              <w:rPr>
                <w:rFonts w:ascii="Times" w:eastAsia="Batang" w:hAnsi="Times" w:cs="Times"/>
                <w:szCs w:val="20"/>
                <w:lang w:val="en-GB"/>
              </w:rPr>
              <w:t xml:space="preserve"> to </w:t>
            </w:r>
            <w:r w:rsidRPr="00945FEA">
              <w:rPr>
                <w:rFonts w:ascii="Times" w:eastAsia="Batang" w:hAnsi="Times" w:cs="Times"/>
                <w:szCs w:val="20"/>
                <w:lang w:val="en-GB" w:eastAsia="ja-JP"/>
              </w:rPr>
              <w:t>transmit the ordered PRACH.</w:t>
            </w:r>
          </w:p>
          <w:p w14:paraId="1C40C175" w14:textId="7D50F08D" w:rsidR="00945FEA" w:rsidRPr="00945FEA" w:rsidRDefault="00945FEA" w:rsidP="00945FEA">
            <w:pPr>
              <w:numPr>
                <w:ilvl w:val="0"/>
                <w:numId w:val="45"/>
              </w:numPr>
              <w:autoSpaceDE/>
              <w:autoSpaceDN/>
              <w:adjustRightInd/>
              <w:snapToGrid/>
              <w:spacing w:after="0"/>
              <w:jc w:val="left"/>
              <w:rPr>
                <w:rFonts w:ascii="Times" w:eastAsia="Batang" w:hAnsi="Times" w:cs="Times"/>
                <w:szCs w:val="20"/>
                <w:lang w:val="en-GB"/>
              </w:rPr>
            </w:pPr>
            <w:r w:rsidRPr="00945FEA">
              <w:rPr>
                <w:rFonts w:ascii="Times" w:eastAsia="Batang" w:hAnsi="Times" w:cs="Times"/>
                <w:szCs w:val="20"/>
                <w:lang w:val="en-GB"/>
              </w:rPr>
              <w:t>Note: The UE’s TA is based on the RAN1#104bis-e agreement on Timing Advance applied by an NR NTN UE given by  </w:t>
            </w:r>
            <m:oMath>
              <m:sSub>
                <m:sSubPr>
                  <m:ctrlPr>
                    <w:rPr>
                      <w:rFonts w:ascii="Cambria Math" w:eastAsia="宋体"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宋体" w:hAnsi="Cambria Math" w:cs="Calibri"/>
                    </w:rPr>
                  </m:ctrlPr>
                </m:dPr>
                <m:e>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T</m:t>
                  </m:r>
                </m:e>
                <m:sub>
                  <m:r>
                    <m:rPr>
                      <m:sty m:val="p"/>
                    </m:rPr>
                    <w:rPr>
                      <w:rFonts w:ascii="Cambria Math" w:hAnsi="Cambria Math"/>
                    </w:rPr>
                    <m:t>c</m:t>
                  </m:r>
                </m:sub>
              </m:sSub>
            </m:oMath>
            <w:r w:rsidRPr="00945FEA">
              <w:rPr>
                <w:rFonts w:ascii="Times" w:eastAsia="Batang" w:hAnsi="Times" w:cs="Times"/>
                <w:szCs w:val="20"/>
                <w:lang w:val="en-GB"/>
              </w:rPr>
              <w:t xml:space="preserve">, where </w:t>
            </w:r>
            <m:oMath>
              <m:sSub>
                <m:sSubPr>
                  <m:ctrlPr>
                    <w:rPr>
                      <w:rFonts w:ascii="Cambria Math" w:eastAsia="宋体" w:hAnsi="Cambria Math" w:cs="Calibri"/>
                      <w:i/>
                      <w:iCs/>
                    </w:rPr>
                  </m:ctrlPr>
                </m:sSubPr>
                <m:e>
                  <m:r>
                    <w:rPr>
                      <w:rFonts w:ascii="Cambria Math" w:hAnsi="Cambria Math"/>
                    </w:rPr>
                    <m:t>N</m:t>
                  </m:r>
                </m:e>
                <m:sub>
                  <m:r>
                    <m:rPr>
                      <m:nor/>
                    </m:rPr>
                    <w:rPr>
                      <w:rFonts w:ascii="Calibri" w:hAnsi="Calibri"/>
                    </w:rPr>
                    <m:t>TA</m:t>
                  </m:r>
                </m:sub>
              </m:sSub>
              <m:r>
                <w:rPr>
                  <w:rFonts w:ascii="Cambria Math" w:hAnsi="Cambria Math"/>
                </w:rPr>
                <m:t>=0</m:t>
              </m:r>
            </m:oMath>
            <w:r w:rsidRPr="00945FEA">
              <w:rPr>
                <w:rFonts w:ascii="Times" w:eastAsia="Batang" w:hAnsi="Times" w:cs="Times"/>
                <w:szCs w:val="20"/>
                <w:lang w:val="en-GB"/>
              </w:rPr>
              <w:t xml:space="preserve"> is assumed for PDCCH ordered PRACH.</w:t>
            </w:r>
          </w:p>
          <w:p w14:paraId="7B4A62B8" w14:textId="1A454EC5" w:rsidR="00945FEA" w:rsidRPr="00945FEA" w:rsidRDefault="00945FEA" w:rsidP="00945FEA">
            <w:pPr>
              <w:numPr>
                <w:ilvl w:val="0"/>
                <w:numId w:val="45"/>
              </w:numPr>
              <w:autoSpaceDE/>
              <w:autoSpaceDN/>
              <w:adjustRightInd/>
              <w:snapToGrid/>
              <w:spacing w:after="0"/>
              <w:jc w:val="left"/>
              <w:rPr>
                <w:rFonts w:ascii="Times" w:eastAsia="Batang" w:hAnsi="Times" w:cs="Times"/>
                <w:szCs w:val="20"/>
                <w:lang w:val="en-GB" w:eastAsia="ja-JP"/>
              </w:rPr>
            </w:pPr>
            <w:r w:rsidRPr="00945FEA">
              <w:rPr>
                <w:rFonts w:ascii="Times" w:eastAsia="Batang" w:hAnsi="Times" w:cs="Times"/>
                <w:szCs w:val="20"/>
                <w:lang w:val="en-GB"/>
              </w:rPr>
              <w:t xml:space="preserve">FFS: Which value of </w:t>
            </w:r>
            <m:oMath>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945FEA">
              <w:rPr>
                <w:rFonts w:ascii="Times" w:eastAsia="Batang" w:hAnsi="Times" w:cs="Times"/>
                <w:szCs w:val="20"/>
                <w:lang w:val="en-GB"/>
              </w:rPr>
              <w:t xml:space="preserve"> should be applied</w:t>
            </w:r>
          </w:p>
          <w:p w14:paraId="41BBE17D" w14:textId="1A333928" w:rsidR="00945FEA" w:rsidRPr="00945FEA" w:rsidRDefault="00945FEA" w:rsidP="00C468EF">
            <w:pPr>
              <w:numPr>
                <w:ilvl w:val="0"/>
                <w:numId w:val="45"/>
              </w:numPr>
              <w:autoSpaceDE/>
              <w:autoSpaceDN/>
              <w:adjustRightInd/>
              <w:snapToGrid/>
              <w:spacing w:after="0"/>
              <w:jc w:val="left"/>
              <w:rPr>
                <w:rFonts w:ascii="Times" w:eastAsia="Batang" w:hAnsi="Times" w:cs="Times"/>
                <w:szCs w:val="20"/>
                <w:lang w:val="en-GB" w:eastAsia="ja-JP"/>
              </w:rPr>
            </w:pPr>
            <w:r w:rsidRPr="00945FEA">
              <w:rPr>
                <w:rFonts w:ascii="Times" w:eastAsia="Batang" w:hAnsi="Times" w:cs="Times"/>
                <w:szCs w:val="20"/>
                <w:lang w:val="en-GB"/>
              </w:rPr>
              <w:t xml:space="preserve">FFS: Whether the </w:t>
            </w:r>
            <m:oMath>
              <m:r>
                <w:rPr>
                  <w:rFonts w:ascii="Cambria Math" w:hAnsi="Cambria Math"/>
                </w:rPr>
                <m:t>n+</m:t>
              </m:r>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945FEA">
              <w:rPr>
                <w:rFonts w:ascii="Times" w:eastAsia="Batang" w:hAnsi="Times" w:cs="Times"/>
                <w:szCs w:val="20"/>
                <w:lang w:val="en-GB"/>
              </w:rPr>
              <w:t xml:space="preserve"> timing relationship is impacted by UE behavior within or after the validity duration.</w:t>
            </w:r>
          </w:p>
        </w:tc>
      </w:tr>
    </w:tbl>
    <w:p w14:paraId="7A9B2BCF" w14:textId="5B74DC60" w:rsidR="00945FEA" w:rsidRDefault="0007792E" w:rsidP="00C468EF">
      <w:pPr>
        <w:rPr>
          <w:lang w:eastAsia="zh-CN"/>
        </w:rPr>
      </w:pPr>
      <w:r>
        <w:rPr>
          <w:lang w:eastAsia="zh-CN"/>
        </w:rPr>
        <w:t>For IoT NTN, adopt the above agreement of NR NTN</w:t>
      </w:r>
      <w:r w:rsidRPr="0007792E">
        <w:rPr>
          <w:lang w:eastAsia="zh-CN"/>
        </w:rPr>
        <w:t xml:space="preserve"> for time relation enhancement of N/MPDCCH ordered PRACH</w:t>
      </w:r>
      <w:r>
        <w:rPr>
          <w:lang w:eastAsia="zh-CN"/>
        </w:rPr>
        <w:t>. We have the following proposal:</w:t>
      </w:r>
    </w:p>
    <w:p w14:paraId="2DFA16E6" w14:textId="46233EDC" w:rsidR="0007792E" w:rsidRPr="0007792E" w:rsidRDefault="0007792E" w:rsidP="00C468EF">
      <w:pPr>
        <w:rPr>
          <w:b/>
          <w:i/>
          <w:lang w:eastAsia="zh-CN"/>
        </w:rPr>
      </w:pPr>
      <w:r w:rsidRPr="0007792E">
        <w:rPr>
          <w:b/>
          <w:i/>
          <w:lang w:eastAsia="zh-CN"/>
        </w:rPr>
        <w:t xml:space="preserve">Proposal </w:t>
      </w:r>
      <w:r w:rsidR="002B65CA">
        <w:rPr>
          <w:b/>
          <w:i/>
          <w:lang w:eastAsia="zh-CN"/>
        </w:rPr>
        <w:t>5</w:t>
      </w:r>
      <w:r w:rsidRPr="0007792E">
        <w:rPr>
          <w:b/>
          <w:i/>
          <w:lang w:eastAsia="zh-CN"/>
        </w:rPr>
        <w:t xml:space="preserve">: For random access procedure initiated by a </w:t>
      </w:r>
      <w:r w:rsidR="00716DC5">
        <w:rPr>
          <w:b/>
          <w:i/>
          <w:lang w:eastAsia="zh-CN"/>
        </w:rPr>
        <w:t>N</w:t>
      </w:r>
      <w:r w:rsidR="00CF2E02">
        <w:rPr>
          <w:b/>
          <w:i/>
          <w:lang w:eastAsia="zh-CN"/>
        </w:rPr>
        <w:t>/M</w:t>
      </w:r>
      <w:r w:rsidRPr="0007792E">
        <w:rPr>
          <w:b/>
          <w:i/>
          <w:lang w:eastAsia="zh-CN"/>
        </w:rPr>
        <w:t>PDCCH order received in downlink slot n, UE determines the next available PRACH occasion after uplink slot n+K_offset to transmit the ordered PRACH.</w:t>
      </w:r>
    </w:p>
    <w:p w14:paraId="60D3FBFB" w14:textId="77777777" w:rsidR="00945FEA" w:rsidRPr="00CF2E02" w:rsidRDefault="00945FEA" w:rsidP="00C468EF">
      <w:pPr>
        <w:rPr>
          <w:lang w:eastAsia="zh-CN"/>
        </w:rPr>
      </w:pPr>
    </w:p>
    <w:p w14:paraId="3BBD6617" w14:textId="6722AD48" w:rsidR="00A0280C" w:rsidRPr="00A0280C" w:rsidRDefault="00A0280C" w:rsidP="00A0280C">
      <w:pPr>
        <w:keepNext/>
        <w:numPr>
          <w:ilvl w:val="0"/>
          <w:numId w:val="1"/>
        </w:numPr>
        <w:spacing w:before="120"/>
        <w:outlineLvl w:val="0"/>
        <w:rPr>
          <w:b/>
          <w:bCs/>
          <w:sz w:val="28"/>
          <w:szCs w:val="28"/>
          <w:lang w:val="en-GB" w:eastAsia="zh-CN"/>
        </w:rPr>
      </w:pPr>
      <w:r w:rsidRPr="00A0280C">
        <w:rPr>
          <w:b/>
          <w:bCs/>
          <w:sz w:val="28"/>
          <w:szCs w:val="28"/>
          <w:lang w:val="en-GB" w:eastAsia="zh-CN"/>
        </w:rPr>
        <w:t>Preamble Retransmission</w:t>
      </w:r>
    </w:p>
    <w:p w14:paraId="385E8DDB" w14:textId="53C5CF18" w:rsidR="00A0280C" w:rsidRDefault="00AC0FC9" w:rsidP="00C468EF">
      <w:pPr>
        <w:rPr>
          <w:lang w:eastAsia="zh-CN"/>
        </w:rPr>
      </w:pPr>
      <w:r>
        <w:rPr>
          <w:rFonts w:hint="eastAsia"/>
          <w:lang w:eastAsia="zh-CN"/>
        </w:rPr>
        <w:t xml:space="preserve">In 36.213, </w:t>
      </w:r>
      <w:r>
        <w:rPr>
          <w:lang w:eastAsia="zh-CN"/>
        </w:rPr>
        <w:t>t</w:t>
      </w:r>
      <w:r w:rsidRPr="00AC0FC9">
        <w:rPr>
          <w:lang w:eastAsia="zh-CN"/>
        </w:rPr>
        <w:t>he timing relationship for NPRACH retransmission are described in the following</w:t>
      </w:r>
      <w:r>
        <w:rPr>
          <w:lang w:eastAsia="zh-CN"/>
        </w:rPr>
        <w:t>.</w:t>
      </w:r>
    </w:p>
    <w:tbl>
      <w:tblPr>
        <w:tblStyle w:val="aff1"/>
        <w:tblW w:w="0" w:type="auto"/>
        <w:tblLook w:val="04A0" w:firstRow="1" w:lastRow="0" w:firstColumn="1" w:lastColumn="0" w:noHBand="0" w:noVBand="1"/>
      </w:tblPr>
      <w:tblGrid>
        <w:gridCol w:w="9307"/>
      </w:tblGrid>
      <w:tr w:rsidR="00AC0FC9" w14:paraId="52C12D08" w14:textId="77777777" w:rsidTr="00AC0FC9">
        <w:tc>
          <w:tcPr>
            <w:tcW w:w="9307" w:type="dxa"/>
          </w:tcPr>
          <w:p w14:paraId="57E9655F" w14:textId="77777777" w:rsidR="00AC0FC9" w:rsidRPr="00AC0FC9" w:rsidRDefault="00AC0FC9" w:rsidP="00AC0FC9">
            <w:pPr>
              <w:keepNext/>
              <w:keepLines/>
              <w:overflowPunct w:val="0"/>
              <w:snapToGrid/>
              <w:spacing w:before="120" w:after="180"/>
              <w:textAlignment w:val="baseline"/>
              <w:outlineLvl w:val="2"/>
              <w:rPr>
                <w:rFonts w:ascii="Arial" w:eastAsia="Times New Roman" w:hAnsi="Arial"/>
                <w:sz w:val="28"/>
                <w:szCs w:val="20"/>
                <w:lang w:val="en-GB" w:eastAsia="en-GB"/>
              </w:rPr>
            </w:pPr>
            <w:r w:rsidRPr="00AC0FC9">
              <w:rPr>
                <w:rFonts w:ascii="Arial" w:eastAsia="Times New Roman" w:hAnsi="Arial"/>
                <w:sz w:val="28"/>
                <w:szCs w:val="20"/>
                <w:lang w:val="en-GB" w:eastAsia="en-GB"/>
              </w:rPr>
              <w:t>16.3.2</w:t>
            </w:r>
            <w:r w:rsidRPr="00AC0FC9">
              <w:rPr>
                <w:rFonts w:ascii="Arial" w:eastAsia="Times New Roman" w:hAnsi="Arial"/>
                <w:sz w:val="28"/>
                <w:szCs w:val="20"/>
                <w:lang w:val="en-GB" w:eastAsia="en-GB"/>
              </w:rPr>
              <w:tab/>
              <w:t>Timing</w:t>
            </w:r>
          </w:p>
          <w:p w14:paraId="2FE2C2B5" w14:textId="77777777" w:rsidR="00AC0FC9" w:rsidRPr="00AC0FC9" w:rsidRDefault="00AC0FC9" w:rsidP="00AC0FC9">
            <w:pPr>
              <w:overflowPunct w:val="0"/>
              <w:snapToGrid/>
              <w:spacing w:after="180"/>
              <w:textAlignment w:val="baseline"/>
              <w:rPr>
                <w:rFonts w:eastAsia="Times New Roman"/>
                <w:sz w:val="20"/>
                <w:szCs w:val="20"/>
                <w:lang w:val="en-GB" w:eastAsia="en-GB"/>
              </w:rPr>
            </w:pPr>
            <w:r w:rsidRPr="00AC0FC9">
              <w:rPr>
                <w:rFonts w:eastAsia="Times New Roman" w:hint="eastAsia"/>
                <w:sz w:val="20"/>
                <w:szCs w:val="20"/>
                <w:lang w:val="en-GB" w:eastAsia="en-GB"/>
              </w:rPr>
              <w:t>For the L1 random access procedure, UE</w:t>
            </w:r>
            <w:r w:rsidRPr="00AC0FC9">
              <w:rPr>
                <w:rFonts w:eastAsia="Times New Roman"/>
                <w:sz w:val="20"/>
                <w:szCs w:val="20"/>
                <w:lang w:val="en-GB" w:eastAsia="en-GB"/>
              </w:rPr>
              <w:t>'</w:t>
            </w:r>
            <w:r w:rsidRPr="00AC0FC9">
              <w:rPr>
                <w:rFonts w:eastAsia="Times New Roman" w:hint="eastAsia"/>
                <w:sz w:val="20"/>
                <w:szCs w:val="20"/>
                <w:lang w:val="en-GB" w:eastAsia="en-GB"/>
              </w:rPr>
              <w:t>s uplink transmission timing after a random access preamble transmission is as follows.</w:t>
            </w:r>
          </w:p>
          <w:p w14:paraId="29546163" w14:textId="77777777" w:rsidR="00AC0FC9" w:rsidRPr="00AC0FC9" w:rsidRDefault="00AC0FC9" w:rsidP="00AC0FC9">
            <w:pPr>
              <w:overflowPunct w:val="0"/>
              <w:snapToGrid/>
              <w:spacing w:after="180"/>
              <w:ind w:left="568" w:hanging="284"/>
              <w:textAlignment w:val="baseline"/>
              <w:rPr>
                <w:rFonts w:eastAsia="宋体"/>
                <w:sz w:val="20"/>
                <w:szCs w:val="20"/>
                <w:lang w:val="en-GB" w:eastAsia="zh-CN"/>
              </w:rPr>
            </w:pPr>
            <w:r w:rsidRPr="00AC0FC9">
              <w:rPr>
                <w:rFonts w:eastAsia="Times New Roman"/>
                <w:sz w:val="20"/>
                <w:szCs w:val="20"/>
                <w:lang w:val="en-GB" w:eastAsia="en-GB"/>
              </w:rPr>
              <w:t>a)</w:t>
            </w:r>
            <w:r w:rsidRPr="00AC0FC9">
              <w:rPr>
                <w:rFonts w:eastAsia="Times New Roman"/>
                <w:sz w:val="20"/>
                <w:szCs w:val="20"/>
                <w:lang w:val="en-GB" w:eastAsia="en-GB"/>
              </w:rPr>
              <w:tab/>
              <w:t xml:space="preserve">If a </w:t>
            </w:r>
            <w:r w:rsidRPr="00AC0FC9">
              <w:rPr>
                <w:rFonts w:eastAsia="宋体" w:hint="eastAsia"/>
                <w:sz w:val="20"/>
                <w:szCs w:val="20"/>
                <w:lang w:val="en-GB" w:eastAsia="zh-CN"/>
              </w:rPr>
              <w:t>N</w:t>
            </w:r>
            <w:r w:rsidRPr="00AC0FC9">
              <w:rPr>
                <w:rFonts w:eastAsia="Times New Roman"/>
                <w:sz w:val="20"/>
                <w:szCs w:val="20"/>
                <w:lang w:val="en-GB" w:eastAsia="en-GB"/>
              </w:rPr>
              <w:t xml:space="preserve">PDCCH with associated RA-RNTI is detected and the corresponding DL-SCH transport block ending in subframe </w:t>
            </w:r>
            <w:r w:rsidRPr="00AC0FC9">
              <w:rPr>
                <w:rFonts w:eastAsia="Times New Roman"/>
                <w:i/>
                <w:sz w:val="20"/>
                <w:szCs w:val="20"/>
                <w:lang w:val="en-GB" w:eastAsia="en-GB"/>
              </w:rPr>
              <w:t>n</w:t>
            </w:r>
            <w:r w:rsidRPr="00AC0FC9">
              <w:rPr>
                <w:rFonts w:eastAsia="Times New Roman"/>
                <w:sz w:val="20"/>
                <w:szCs w:val="20"/>
                <w:lang w:val="en-GB" w:eastAsia="en-GB"/>
              </w:rPr>
              <w:t xml:space="preserve"> contains a response to the transmitted preamble sequence, the UE shall, according to the information in the response</w:t>
            </w:r>
            <w:r w:rsidRPr="00AC0FC9">
              <w:rPr>
                <w:rFonts w:eastAsia="MS Mincho" w:hint="eastAsia"/>
                <w:sz w:val="20"/>
                <w:szCs w:val="20"/>
                <w:lang w:val="en-GB" w:eastAsia="en-GB"/>
              </w:rPr>
              <w:t>,</w:t>
            </w:r>
            <w:r w:rsidRPr="00AC0FC9">
              <w:rPr>
                <w:rFonts w:eastAsia="Times New Roman"/>
                <w:sz w:val="20"/>
                <w:szCs w:val="20"/>
                <w:lang w:val="en-GB" w:eastAsia="en-GB"/>
              </w:rPr>
              <w:t xml:space="preserve"> transmit an UL-SCH transport block according to Subclause 16.3.3</w:t>
            </w:r>
            <w:r w:rsidRPr="00AC0FC9">
              <w:rPr>
                <w:rFonts w:eastAsia="Times New Roman" w:hint="eastAsia"/>
                <w:sz w:val="20"/>
                <w:szCs w:val="20"/>
                <w:lang w:val="en-GB" w:eastAsia="zh-TW"/>
              </w:rPr>
              <w:t>.</w:t>
            </w:r>
          </w:p>
          <w:p w14:paraId="2528DF52" w14:textId="77777777" w:rsidR="00AC0FC9" w:rsidRPr="00AC0FC9" w:rsidRDefault="00AC0FC9" w:rsidP="00AC0FC9">
            <w:pPr>
              <w:overflowPunct w:val="0"/>
              <w:snapToGrid/>
              <w:spacing w:after="180"/>
              <w:ind w:left="568" w:hanging="284"/>
              <w:textAlignment w:val="baseline"/>
              <w:rPr>
                <w:rFonts w:eastAsia="Times New Roman"/>
                <w:sz w:val="20"/>
                <w:szCs w:val="20"/>
                <w:lang w:val="en-GB" w:eastAsia="en-GB"/>
              </w:rPr>
            </w:pPr>
            <w:r w:rsidRPr="00AC0FC9">
              <w:rPr>
                <w:rFonts w:eastAsia="Times New Roman"/>
                <w:sz w:val="20"/>
                <w:szCs w:val="20"/>
                <w:lang w:val="en-GB" w:eastAsia="en-GB"/>
              </w:rPr>
              <w:t>b)</w:t>
            </w:r>
            <w:r w:rsidRPr="00AC0FC9">
              <w:rPr>
                <w:rFonts w:eastAsia="Times New Roman"/>
                <w:sz w:val="20"/>
                <w:szCs w:val="20"/>
                <w:lang w:val="en-GB" w:eastAsia="en-GB"/>
              </w:rPr>
              <w:tab/>
              <w:t>If a random access response is received and the corresponding DL-SCH transport block</w:t>
            </w:r>
            <w:r w:rsidRPr="00AC0FC9">
              <w:rPr>
                <w:rFonts w:eastAsia="宋体" w:hint="eastAsia"/>
                <w:sz w:val="20"/>
                <w:szCs w:val="20"/>
                <w:lang w:val="en-GB" w:eastAsia="zh-CN"/>
              </w:rPr>
              <w:t xml:space="preserve"> ending </w:t>
            </w:r>
            <w:r w:rsidRPr="00AC0FC9">
              <w:rPr>
                <w:rFonts w:eastAsia="Times New Roman"/>
                <w:sz w:val="20"/>
                <w:szCs w:val="20"/>
                <w:lang w:val="en-GB" w:eastAsia="en-GB"/>
              </w:rPr>
              <w:t xml:space="preserve">in subframe </w:t>
            </w:r>
            <w:r w:rsidRPr="00AC0FC9">
              <w:rPr>
                <w:rFonts w:eastAsia="Times New Roman"/>
                <w:i/>
                <w:iCs/>
                <w:sz w:val="20"/>
                <w:szCs w:val="20"/>
                <w:lang w:val="en-GB" w:eastAsia="en-GB"/>
              </w:rPr>
              <w:t>n</w:t>
            </w:r>
            <w:r w:rsidRPr="00AC0FC9">
              <w:rPr>
                <w:rFonts w:eastAsia="Times New Roman"/>
                <w:sz w:val="20"/>
                <w:szCs w:val="20"/>
                <w:lang w:val="en-GB" w:eastAsia="en-GB"/>
              </w:rPr>
              <w:t xml:space="preserve"> does not contain a response to the transmitted preamble sequence, the UE shall, if requested by higher layers, be ready to transmit a new preamble sequence no later than the NB-IoT UL slot starting 12 milliseconds after the end of subframe </w:t>
            </w:r>
            <w:r w:rsidRPr="00AC0FC9">
              <w:rPr>
                <w:rFonts w:eastAsia="Times New Roman"/>
                <w:i/>
                <w:sz w:val="20"/>
                <w:szCs w:val="20"/>
                <w:lang w:val="en-GB" w:eastAsia="en-GB"/>
              </w:rPr>
              <w:t>n</w:t>
            </w:r>
            <w:r w:rsidRPr="00AC0FC9">
              <w:rPr>
                <w:rFonts w:eastAsia="Times New Roman"/>
                <w:sz w:val="20"/>
                <w:szCs w:val="20"/>
                <w:lang w:val="en-GB" w:eastAsia="en-GB"/>
              </w:rPr>
              <w:t>.</w:t>
            </w:r>
          </w:p>
          <w:p w14:paraId="2C0C03CA" w14:textId="77777777" w:rsidR="00AC0FC9" w:rsidRPr="00AC0FC9" w:rsidRDefault="00AC0FC9" w:rsidP="00AC0FC9">
            <w:pPr>
              <w:overflowPunct w:val="0"/>
              <w:snapToGrid/>
              <w:spacing w:after="180"/>
              <w:ind w:left="568" w:hanging="284"/>
              <w:textAlignment w:val="baseline"/>
              <w:rPr>
                <w:rFonts w:eastAsia="Times New Roman"/>
                <w:sz w:val="20"/>
                <w:szCs w:val="20"/>
                <w:lang w:val="en-GB" w:eastAsia="en-GB"/>
              </w:rPr>
            </w:pPr>
            <w:r w:rsidRPr="00AC0FC9">
              <w:rPr>
                <w:rFonts w:eastAsia="Times New Roman"/>
                <w:sz w:val="20"/>
                <w:szCs w:val="20"/>
                <w:lang w:val="en-GB" w:eastAsia="en-GB"/>
              </w:rPr>
              <w:t>c)</w:t>
            </w:r>
            <w:r w:rsidRPr="00AC0FC9">
              <w:rPr>
                <w:rFonts w:eastAsia="Times New Roman"/>
                <w:sz w:val="20"/>
                <w:szCs w:val="20"/>
                <w:lang w:val="en-GB" w:eastAsia="en-GB"/>
              </w:rPr>
              <w:tab/>
              <w:t xml:space="preserve">If no NPDCCH scheduling random access response is received in subframe </w:t>
            </w:r>
            <w:r w:rsidRPr="00AC0FC9">
              <w:rPr>
                <w:rFonts w:eastAsia="Times New Roman"/>
                <w:i/>
                <w:iCs/>
                <w:sz w:val="20"/>
                <w:szCs w:val="20"/>
                <w:lang w:val="en-GB" w:eastAsia="en-GB"/>
              </w:rPr>
              <w:t>n</w:t>
            </w:r>
            <w:r w:rsidRPr="00AC0FC9">
              <w:rPr>
                <w:rFonts w:eastAsia="Times New Roman"/>
                <w:sz w:val="20"/>
                <w:szCs w:val="20"/>
                <w:lang w:val="en-GB" w:eastAsia="en-GB"/>
              </w:rPr>
              <w:t xml:space="preserve">, </w:t>
            </w:r>
            <w:r w:rsidRPr="00AC0FC9">
              <w:rPr>
                <w:rFonts w:eastAsia="Times New Roman"/>
                <w:iCs/>
                <w:sz w:val="20"/>
                <w:szCs w:val="20"/>
                <w:lang w:val="en-GB" w:eastAsia="en-GB"/>
              </w:rPr>
              <w:t xml:space="preserve">where subframe </w:t>
            </w:r>
            <w:r w:rsidRPr="00AC0FC9">
              <w:rPr>
                <w:rFonts w:eastAsia="Times New Roman"/>
                <w:i/>
                <w:iCs/>
                <w:sz w:val="20"/>
                <w:szCs w:val="20"/>
                <w:lang w:val="en-GB" w:eastAsia="en-GB"/>
              </w:rPr>
              <w:t>n</w:t>
            </w:r>
            <w:r w:rsidRPr="00AC0FC9">
              <w:rPr>
                <w:rFonts w:eastAsia="Times New Roman"/>
                <w:sz w:val="20"/>
                <w:szCs w:val="20"/>
                <w:lang w:val="en-GB" w:eastAsia="en-GB"/>
              </w:rPr>
              <w:t xml:space="preserve"> is the last subframe of the random access response window, the UE shall, if requested by higher layers</w:t>
            </w:r>
            <w:r w:rsidRPr="00AC0FC9">
              <w:rPr>
                <w:rFonts w:eastAsia="MS Mincho" w:hint="eastAsia"/>
                <w:sz w:val="20"/>
                <w:szCs w:val="20"/>
                <w:lang w:val="en-GB" w:eastAsia="en-GB"/>
              </w:rPr>
              <w:t>,</w:t>
            </w:r>
            <w:r w:rsidRPr="00AC0FC9">
              <w:rPr>
                <w:rFonts w:eastAsia="Times New Roman"/>
                <w:sz w:val="20"/>
                <w:szCs w:val="20"/>
                <w:lang w:val="en-GB" w:eastAsia="en-GB"/>
              </w:rPr>
              <w:t xml:space="preserve"> be ready to</w:t>
            </w:r>
            <w:r w:rsidRPr="00AC0FC9">
              <w:rPr>
                <w:rFonts w:eastAsia="Times New Roman" w:hint="eastAsia"/>
                <w:sz w:val="20"/>
                <w:szCs w:val="20"/>
                <w:lang w:val="en-GB" w:eastAsia="en-GB"/>
              </w:rPr>
              <w:t xml:space="preserve"> </w:t>
            </w:r>
            <w:r w:rsidRPr="00AC0FC9">
              <w:rPr>
                <w:rFonts w:eastAsia="Times New Roman"/>
                <w:sz w:val="20"/>
                <w:szCs w:val="20"/>
                <w:lang w:val="en-GB" w:eastAsia="en-GB"/>
              </w:rPr>
              <w:t>transmit a new preamble sequence no later than the NB-IoT UL slot starting 12 milliseconds after the end of subframe</w:t>
            </w:r>
            <w:r w:rsidRPr="00AC0FC9">
              <w:rPr>
                <w:rFonts w:eastAsia="Times New Roman"/>
                <w:i/>
                <w:sz w:val="20"/>
                <w:szCs w:val="20"/>
                <w:lang w:val="en-GB" w:eastAsia="en-GB"/>
              </w:rPr>
              <w:t xml:space="preserve"> n</w:t>
            </w:r>
            <w:r w:rsidRPr="00AC0FC9">
              <w:rPr>
                <w:rFonts w:eastAsia="Times New Roman"/>
                <w:sz w:val="20"/>
                <w:szCs w:val="20"/>
                <w:lang w:val="en-GB" w:eastAsia="en-GB"/>
              </w:rPr>
              <w:t>.</w:t>
            </w:r>
          </w:p>
          <w:p w14:paraId="457FCBFB" w14:textId="0D1C6721" w:rsidR="00AC0FC9" w:rsidRPr="00AC0FC9" w:rsidRDefault="00AC0FC9" w:rsidP="00AC0FC9">
            <w:pPr>
              <w:overflowPunct w:val="0"/>
              <w:snapToGrid/>
              <w:spacing w:after="180"/>
              <w:ind w:left="568" w:hanging="284"/>
              <w:textAlignment w:val="baseline"/>
              <w:rPr>
                <w:rFonts w:eastAsia="Times New Roman"/>
                <w:sz w:val="20"/>
                <w:szCs w:val="20"/>
                <w:lang w:val="en-GB" w:eastAsia="en-GB"/>
              </w:rPr>
            </w:pPr>
            <w:r w:rsidRPr="00AC0FC9">
              <w:rPr>
                <w:rFonts w:eastAsia="Times New Roman"/>
                <w:sz w:val="20"/>
                <w:szCs w:val="20"/>
                <w:lang w:val="en-GB" w:eastAsia="en-GB"/>
              </w:rPr>
              <w:t>d)</w:t>
            </w:r>
            <w:r w:rsidRPr="00AC0FC9">
              <w:rPr>
                <w:rFonts w:eastAsia="Times New Roman"/>
                <w:sz w:val="20"/>
                <w:szCs w:val="20"/>
                <w:lang w:val="en-GB" w:eastAsia="en-GB"/>
              </w:rPr>
              <w:tab/>
              <w:t xml:space="preserve">If an NPDCCH scheduling random access response with associated RA-RNTI is detected and the corresponding DL-SCH transport block reception ending in subframe </w:t>
            </w:r>
            <w:r w:rsidRPr="00AC0FC9">
              <w:rPr>
                <w:rFonts w:eastAsia="Times New Roman"/>
                <w:i/>
                <w:iCs/>
                <w:sz w:val="20"/>
                <w:szCs w:val="20"/>
                <w:lang w:val="en-GB" w:eastAsia="en-GB"/>
              </w:rPr>
              <w:t>n</w:t>
            </w:r>
            <w:r w:rsidRPr="00AC0FC9">
              <w:rPr>
                <w:rFonts w:eastAsia="Times New Roman"/>
                <w:sz w:val="20"/>
                <w:szCs w:val="20"/>
                <w:lang w:val="en-GB" w:eastAsia="en-GB"/>
              </w:rPr>
              <w:t xml:space="preserve"> cannot be successfully decoded, the UE shall, if requested by higher layers</w:t>
            </w:r>
            <w:r w:rsidRPr="00AC0FC9">
              <w:rPr>
                <w:rFonts w:eastAsia="MS Mincho" w:hint="eastAsia"/>
                <w:sz w:val="20"/>
                <w:szCs w:val="20"/>
                <w:lang w:val="en-GB" w:eastAsia="en-GB"/>
              </w:rPr>
              <w:t>,</w:t>
            </w:r>
            <w:r w:rsidRPr="00AC0FC9">
              <w:rPr>
                <w:rFonts w:eastAsia="Times New Roman"/>
                <w:sz w:val="20"/>
                <w:szCs w:val="20"/>
                <w:lang w:val="en-GB" w:eastAsia="en-GB"/>
              </w:rPr>
              <w:t xml:space="preserve"> be ready to</w:t>
            </w:r>
            <w:r w:rsidRPr="00AC0FC9">
              <w:rPr>
                <w:rFonts w:eastAsia="Times New Roman" w:hint="eastAsia"/>
                <w:sz w:val="20"/>
                <w:szCs w:val="20"/>
                <w:lang w:val="en-GB" w:eastAsia="en-GB"/>
              </w:rPr>
              <w:t xml:space="preserve"> </w:t>
            </w:r>
            <w:r w:rsidRPr="00AC0FC9">
              <w:rPr>
                <w:rFonts w:eastAsia="Times New Roman"/>
                <w:sz w:val="20"/>
                <w:szCs w:val="20"/>
                <w:lang w:val="en-GB" w:eastAsia="en-GB"/>
              </w:rPr>
              <w:t>transmit a new preamble sequence no later than the NB-IoT UL slot starting 12 milliseconds after the end of subframe</w:t>
            </w:r>
            <w:r w:rsidRPr="00AC0FC9">
              <w:rPr>
                <w:rFonts w:eastAsia="Times New Roman"/>
                <w:i/>
                <w:sz w:val="20"/>
                <w:szCs w:val="20"/>
                <w:lang w:val="en-GB" w:eastAsia="en-GB"/>
              </w:rPr>
              <w:t xml:space="preserve"> n</w:t>
            </w:r>
            <w:r w:rsidRPr="00AC0FC9">
              <w:rPr>
                <w:rFonts w:eastAsia="Times New Roman"/>
                <w:sz w:val="20"/>
                <w:szCs w:val="20"/>
                <w:lang w:val="en-GB" w:eastAsia="en-GB"/>
              </w:rPr>
              <w:t>.</w:t>
            </w:r>
          </w:p>
        </w:tc>
      </w:tr>
    </w:tbl>
    <w:p w14:paraId="1486506A" w14:textId="7D02F6A9" w:rsidR="00CE0918" w:rsidRDefault="00AC0FC9" w:rsidP="00C468EF">
      <w:pPr>
        <w:rPr>
          <w:lang w:eastAsia="zh-CN"/>
        </w:rPr>
      </w:pPr>
      <w:r>
        <w:rPr>
          <w:lang w:eastAsia="zh-CN"/>
        </w:rPr>
        <w:t xml:space="preserve">In current specification, UE </w:t>
      </w:r>
      <w:r w:rsidRPr="00AC0FC9">
        <w:rPr>
          <w:lang w:eastAsia="zh-CN"/>
        </w:rPr>
        <w:t>is assuming that TA is not taken into account and the UE will conduct the preamble retransmission in UE UL n+12</w:t>
      </w:r>
      <w:r>
        <w:rPr>
          <w:lang w:eastAsia="zh-CN"/>
        </w:rPr>
        <w:t xml:space="preserve">. However, in IOT NTN, </w:t>
      </w:r>
      <w:r w:rsidRPr="00AC0FC9">
        <w:rPr>
          <w:lang w:eastAsia="zh-CN"/>
        </w:rPr>
        <w:t xml:space="preserve">UE retransmits preamble with </w:t>
      </w:r>
      <w:r>
        <w:rPr>
          <w:lang w:eastAsia="zh-CN"/>
        </w:rPr>
        <w:t xml:space="preserve">a large </w:t>
      </w:r>
      <w:r w:rsidRPr="00AC0FC9">
        <w:rPr>
          <w:lang w:eastAsia="zh-CN"/>
        </w:rPr>
        <w:t>TA, which can be larger than 12 milliseconds</w:t>
      </w:r>
      <w:r>
        <w:rPr>
          <w:lang w:eastAsia="zh-CN"/>
        </w:rPr>
        <w:t>. Therefore, the timing of p</w:t>
      </w:r>
      <w:r w:rsidRPr="00AC0FC9">
        <w:rPr>
          <w:lang w:eastAsia="zh-CN"/>
        </w:rPr>
        <w:t xml:space="preserve">reamble </w:t>
      </w:r>
      <w:r>
        <w:rPr>
          <w:lang w:eastAsia="zh-CN"/>
        </w:rPr>
        <w:t>r</w:t>
      </w:r>
      <w:r w:rsidRPr="00AC0FC9">
        <w:rPr>
          <w:lang w:eastAsia="zh-CN"/>
        </w:rPr>
        <w:t>etransmission</w:t>
      </w:r>
      <w:r w:rsidR="00363DE4">
        <w:rPr>
          <w:lang w:eastAsia="zh-CN"/>
        </w:rPr>
        <w:t xml:space="preserve"> should be </w:t>
      </w:r>
      <w:r w:rsidR="00363DE4">
        <w:rPr>
          <w:lang w:eastAsia="zh-CN"/>
        </w:rPr>
        <w:lastRenderedPageBreak/>
        <w:t xml:space="preserve">enhanced by K_offset, i.e., </w:t>
      </w:r>
      <w:r w:rsidR="00363DE4" w:rsidRPr="00363DE4">
        <w:rPr>
          <w:lang w:eastAsia="zh-CN"/>
        </w:rPr>
        <w:t>if the UE determines that a preamble retransmission is necessary, the choice of a suitable preamble retransmission slot shall be delayed by K</w:t>
      </w:r>
      <w:r w:rsidR="00C553C6">
        <w:rPr>
          <w:lang w:eastAsia="zh-CN"/>
        </w:rPr>
        <w:t>_</w:t>
      </w:r>
      <w:r w:rsidR="00363DE4" w:rsidRPr="00363DE4">
        <w:rPr>
          <w:lang w:eastAsia="zh-CN"/>
        </w:rPr>
        <w:t>offset as compared to current specification.</w:t>
      </w:r>
    </w:p>
    <w:p w14:paraId="6F44E499" w14:textId="75BDAA53" w:rsidR="00363DE4" w:rsidRPr="00363DE4" w:rsidRDefault="00363DE4" w:rsidP="00C468EF">
      <w:pPr>
        <w:rPr>
          <w:b/>
          <w:i/>
          <w:lang w:eastAsia="zh-CN"/>
        </w:rPr>
      </w:pPr>
      <w:r w:rsidRPr="00363DE4">
        <w:rPr>
          <w:b/>
          <w:i/>
          <w:lang w:eastAsia="zh-CN"/>
        </w:rPr>
        <w:t xml:space="preserve">Proposal </w:t>
      </w:r>
      <w:r w:rsidR="002B65CA">
        <w:rPr>
          <w:b/>
          <w:i/>
          <w:lang w:eastAsia="zh-CN"/>
        </w:rPr>
        <w:t>6</w:t>
      </w:r>
      <w:r w:rsidRPr="00363DE4">
        <w:rPr>
          <w:b/>
          <w:i/>
          <w:lang w:eastAsia="zh-CN"/>
        </w:rPr>
        <w:t>:</w:t>
      </w:r>
      <w:r w:rsidRPr="00363DE4">
        <w:rPr>
          <w:b/>
          <w:i/>
        </w:rPr>
        <w:t xml:space="preserve"> </w:t>
      </w:r>
      <w:r w:rsidRPr="00363DE4">
        <w:rPr>
          <w:b/>
          <w:i/>
          <w:lang w:eastAsia="zh-CN"/>
        </w:rPr>
        <w:t>If the UE determines that a preamble retransmission is necessary, the choice of a suitable preamble retransmission slot shall be delayed by K</w:t>
      </w:r>
      <w:r w:rsidR="00C553C6">
        <w:rPr>
          <w:b/>
          <w:i/>
          <w:lang w:eastAsia="zh-CN"/>
        </w:rPr>
        <w:t>_</w:t>
      </w:r>
      <w:r w:rsidRPr="00363DE4">
        <w:rPr>
          <w:b/>
          <w:i/>
          <w:lang w:eastAsia="zh-CN"/>
        </w:rPr>
        <w:t>offset as compared to current specification.</w:t>
      </w:r>
    </w:p>
    <w:p w14:paraId="7FC7B0EB" w14:textId="77777777" w:rsidR="00CE0918" w:rsidRPr="00C468EF" w:rsidRDefault="00CE0918" w:rsidP="00C468EF">
      <w:pPr>
        <w:rPr>
          <w:lang w:eastAsia="zh-CN"/>
        </w:rPr>
      </w:pPr>
    </w:p>
    <w:p w14:paraId="78BC9004" w14:textId="77777777" w:rsidR="00C468EF" w:rsidRPr="00C468EF" w:rsidRDefault="00C468EF" w:rsidP="00C468EF">
      <w:pPr>
        <w:keepNext/>
        <w:numPr>
          <w:ilvl w:val="0"/>
          <w:numId w:val="1"/>
        </w:numPr>
        <w:spacing w:before="120"/>
        <w:outlineLvl w:val="0"/>
        <w:rPr>
          <w:b/>
          <w:bCs/>
          <w:sz w:val="28"/>
          <w:szCs w:val="28"/>
          <w:lang w:val="en-GB" w:eastAsia="zh-CN"/>
        </w:rPr>
      </w:pPr>
      <w:r w:rsidRPr="00C468EF">
        <w:rPr>
          <w:b/>
          <w:bCs/>
          <w:sz w:val="28"/>
          <w:szCs w:val="28"/>
          <w:lang w:val="en-GB" w:eastAsia="zh-CN"/>
        </w:rPr>
        <w:t>Conclusion</w:t>
      </w:r>
    </w:p>
    <w:p w14:paraId="74EDF351" w14:textId="77777777" w:rsidR="00C468EF" w:rsidRPr="00C468EF" w:rsidRDefault="00C468EF" w:rsidP="00C468EF">
      <w:pPr>
        <w:rPr>
          <w:lang w:eastAsia="zh-CN"/>
        </w:rPr>
      </w:pPr>
      <w:r w:rsidRPr="00C468EF">
        <w:rPr>
          <w:lang w:eastAsia="zh-CN"/>
        </w:rPr>
        <w:t>As summary, we have the following proposals.</w:t>
      </w:r>
    </w:p>
    <w:p w14:paraId="23911762" w14:textId="77777777" w:rsidR="002B65CA" w:rsidRPr="002B65CA" w:rsidRDefault="002B65CA" w:rsidP="002B65CA">
      <w:pPr>
        <w:rPr>
          <w:rFonts w:eastAsia="宋体"/>
          <w:b/>
          <w:i/>
          <w:lang w:eastAsia="zh-CN"/>
        </w:rPr>
      </w:pPr>
      <w:r w:rsidRPr="002B65CA">
        <w:rPr>
          <w:rFonts w:hint="eastAsia"/>
          <w:b/>
          <w:i/>
          <w:lang w:eastAsia="zh-CN"/>
        </w:rPr>
        <w:t xml:space="preserve">Proposal 1: </w:t>
      </w:r>
      <w:r w:rsidRPr="002B65CA">
        <w:rPr>
          <w:rFonts w:eastAsia="宋体" w:hint="eastAsia"/>
          <w:b/>
          <w:i/>
          <w:lang w:eastAsia="zh-CN"/>
        </w:rPr>
        <w:t xml:space="preserve">For </w:t>
      </w:r>
      <w:r w:rsidRPr="002B65CA">
        <w:rPr>
          <w:rFonts w:eastAsia="宋体"/>
          <w:b/>
          <w:i/>
          <w:lang w:eastAsia="zh-CN"/>
        </w:rPr>
        <w:t>UE-specific TA reporting, UE only need to report</w:t>
      </w:r>
      <w:r w:rsidRPr="002B65CA">
        <w:rPr>
          <w:b/>
          <w:i/>
        </w:rPr>
        <w:t xml:space="preserve"> </w:t>
      </w:r>
      <w:r w:rsidRPr="002B65CA">
        <w:rPr>
          <w:rFonts w:eastAsia="宋体"/>
          <w:b/>
          <w:i/>
          <w:lang w:eastAsia="zh-CN"/>
        </w:rPr>
        <w:t>UE-specific N</w:t>
      </w:r>
      <w:r w:rsidRPr="002B65CA">
        <w:rPr>
          <w:rFonts w:eastAsia="宋体"/>
          <w:b/>
          <w:i/>
          <w:vertAlign w:val="subscript"/>
          <w:lang w:eastAsia="zh-CN"/>
        </w:rPr>
        <w:t>TA, UE-specific</w:t>
      </w:r>
      <w:r w:rsidRPr="002B65CA">
        <w:rPr>
          <w:rFonts w:eastAsia="宋体"/>
          <w:b/>
          <w:i/>
          <w:lang w:eastAsia="zh-CN"/>
        </w:rPr>
        <w:t xml:space="preserve"> related information (i.e., RTT between UE and satellite).</w:t>
      </w:r>
    </w:p>
    <w:p w14:paraId="1DBE109C" w14:textId="3AD9BD13" w:rsidR="002B65CA" w:rsidRPr="002B65CA" w:rsidRDefault="002B65CA" w:rsidP="002B65CA">
      <w:pPr>
        <w:autoSpaceDE/>
        <w:autoSpaceDN/>
        <w:adjustRightInd/>
        <w:snapToGrid/>
        <w:rPr>
          <w:rFonts w:eastAsia="宋体"/>
          <w:b/>
          <w:i/>
          <w:lang w:eastAsia="zh-CN"/>
        </w:rPr>
      </w:pPr>
      <w:r w:rsidRPr="002B65CA">
        <w:rPr>
          <w:rFonts w:eastAsia="宋体"/>
          <w:b/>
          <w:i/>
          <w:lang w:eastAsia="zh-CN"/>
        </w:rPr>
        <w:t>Proposal 2: The granularity of reporting UE-specific N</w:t>
      </w:r>
      <w:r w:rsidRPr="002B65CA">
        <w:rPr>
          <w:rFonts w:eastAsia="宋体"/>
          <w:b/>
          <w:i/>
          <w:vertAlign w:val="subscript"/>
          <w:lang w:eastAsia="zh-CN"/>
        </w:rPr>
        <w:t>TA, UE-specific</w:t>
      </w:r>
      <w:r w:rsidRPr="002B65CA">
        <w:rPr>
          <w:rFonts w:eastAsia="宋体"/>
          <w:b/>
          <w:i/>
          <w:lang w:eastAsia="zh-CN"/>
        </w:rPr>
        <w:t xml:space="preserve"> should be same as the granularity of K_offset.</w:t>
      </w:r>
    </w:p>
    <w:p w14:paraId="48132E8F" w14:textId="77777777" w:rsidR="002B65CA" w:rsidRPr="003E0DF7" w:rsidRDefault="002B65CA" w:rsidP="002B65CA">
      <w:pPr>
        <w:autoSpaceDE/>
        <w:autoSpaceDN/>
        <w:adjustRightInd/>
        <w:snapToGrid/>
        <w:rPr>
          <w:rFonts w:eastAsia="宋体"/>
          <w:b/>
          <w:i/>
          <w:lang w:eastAsia="zh-CN"/>
        </w:rPr>
      </w:pPr>
      <w:r w:rsidRPr="003E0DF7">
        <w:rPr>
          <w:rFonts w:eastAsia="宋体" w:hint="eastAsia"/>
          <w:b/>
          <w:i/>
          <w:lang w:eastAsia="zh-CN"/>
        </w:rPr>
        <w:t xml:space="preserve">Proposal </w:t>
      </w:r>
      <w:r>
        <w:rPr>
          <w:rFonts w:eastAsia="宋体"/>
          <w:b/>
          <w:i/>
          <w:lang w:eastAsia="zh-CN"/>
        </w:rPr>
        <w:t>3</w:t>
      </w:r>
      <w:r w:rsidRPr="003E0DF7">
        <w:rPr>
          <w:rFonts w:eastAsia="宋体" w:hint="eastAsia"/>
          <w:b/>
          <w:i/>
          <w:lang w:eastAsia="zh-CN"/>
        </w:rPr>
        <w:t>:</w:t>
      </w:r>
      <w:r w:rsidRPr="003E0DF7">
        <w:rPr>
          <w:b/>
          <w:i/>
        </w:rPr>
        <w:t xml:space="preserve"> </w:t>
      </w:r>
      <w:r w:rsidRPr="003E0DF7">
        <w:rPr>
          <w:rFonts w:eastAsia="宋体"/>
          <w:b/>
          <w:i/>
          <w:lang w:eastAsia="zh-CN"/>
        </w:rPr>
        <w:t>For NB-IoT, if the UE has initiated an NPUSCH transmission using pre-configured uplink resource ending in subframe n, the time at which the UE shall start to monitor the NPDCCH UE-specific search space shall be delayed by UE-eNB RTT as compared to current specification.</w:t>
      </w:r>
    </w:p>
    <w:p w14:paraId="0A41A4A9" w14:textId="4E3748B6" w:rsidR="002B65CA" w:rsidRPr="002B65CA" w:rsidRDefault="002B65CA" w:rsidP="002B65CA">
      <w:pPr>
        <w:autoSpaceDE/>
        <w:autoSpaceDN/>
        <w:adjustRightInd/>
        <w:snapToGrid/>
        <w:rPr>
          <w:rFonts w:eastAsia="宋体"/>
          <w:b/>
          <w:i/>
          <w:lang w:eastAsia="zh-CN"/>
        </w:rPr>
      </w:pPr>
      <w:r w:rsidRPr="003E0DF7">
        <w:rPr>
          <w:rFonts w:eastAsia="宋体"/>
          <w:b/>
          <w:i/>
          <w:lang w:eastAsia="zh-CN"/>
        </w:rPr>
        <w:t xml:space="preserve">Proposal </w:t>
      </w:r>
      <w:r>
        <w:rPr>
          <w:rFonts w:eastAsia="宋体"/>
          <w:b/>
          <w:i/>
          <w:lang w:eastAsia="zh-CN"/>
        </w:rPr>
        <w:t>4</w:t>
      </w:r>
      <w:r w:rsidRPr="003E0DF7">
        <w:rPr>
          <w:rFonts w:eastAsia="宋体"/>
          <w:b/>
          <w:i/>
          <w:lang w:eastAsia="zh-CN"/>
        </w:rPr>
        <w:t>:</w:t>
      </w:r>
      <w:r w:rsidRPr="003E0DF7">
        <w:rPr>
          <w:b/>
          <w:i/>
        </w:rPr>
        <w:t xml:space="preserve"> </w:t>
      </w:r>
      <w:r w:rsidRPr="003E0DF7">
        <w:rPr>
          <w:rFonts w:eastAsia="宋体"/>
          <w:b/>
          <w:i/>
          <w:lang w:eastAsia="zh-CN"/>
        </w:rPr>
        <w:t>For eMTC, if the UE has initiated a PUSCH transmission using pre-configured uplink resource ending in subframe n, the time at which the UE shall start to monitor the MPDCCH UE-specific search space shall be delayed by UE-eNB RTT as compared to current specification.</w:t>
      </w:r>
    </w:p>
    <w:p w14:paraId="7400388E" w14:textId="3365A1C1" w:rsidR="002B65CA" w:rsidRPr="002B65CA" w:rsidRDefault="002B65CA" w:rsidP="002B65CA">
      <w:pPr>
        <w:rPr>
          <w:b/>
          <w:i/>
          <w:lang w:eastAsia="zh-CN"/>
        </w:rPr>
      </w:pPr>
      <w:r w:rsidRPr="0007792E">
        <w:rPr>
          <w:b/>
          <w:i/>
          <w:lang w:eastAsia="zh-CN"/>
        </w:rPr>
        <w:t xml:space="preserve">Proposal </w:t>
      </w:r>
      <w:r>
        <w:rPr>
          <w:b/>
          <w:i/>
          <w:lang w:eastAsia="zh-CN"/>
        </w:rPr>
        <w:t>5</w:t>
      </w:r>
      <w:r w:rsidRPr="0007792E">
        <w:rPr>
          <w:b/>
          <w:i/>
          <w:lang w:eastAsia="zh-CN"/>
        </w:rPr>
        <w:t xml:space="preserve">: For random access procedure initiated by a </w:t>
      </w:r>
      <w:r w:rsidR="002676EA">
        <w:rPr>
          <w:b/>
          <w:i/>
          <w:lang w:eastAsia="zh-CN"/>
        </w:rPr>
        <w:t>N/M</w:t>
      </w:r>
      <w:r w:rsidRPr="0007792E">
        <w:rPr>
          <w:b/>
          <w:i/>
          <w:lang w:eastAsia="zh-CN"/>
        </w:rPr>
        <w:t>PDCCH order received in downlink slot n, UE determines the next available PRACH occasion after uplink slot n+K_offset to transmit the ordered PRACH.</w:t>
      </w:r>
    </w:p>
    <w:p w14:paraId="175D5E88" w14:textId="083C38F4" w:rsidR="002B65CA" w:rsidRPr="00363DE4" w:rsidRDefault="002B65CA" w:rsidP="002B65CA">
      <w:pPr>
        <w:rPr>
          <w:b/>
          <w:i/>
          <w:lang w:eastAsia="zh-CN"/>
        </w:rPr>
      </w:pPr>
      <w:r w:rsidRPr="00363DE4">
        <w:rPr>
          <w:b/>
          <w:i/>
          <w:lang w:eastAsia="zh-CN"/>
        </w:rPr>
        <w:t xml:space="preserve">Proposal </w:t>
      </w:r>
      <w:r>
        <w:rPr>
          <w:b/>
          <w:i/>
          <w:lang w:eastAsia="zh-CN"/>
        </w:rPr>
        <w:t>6</w:t>
      </w:r>
      <w:r w:rsidRPr="00363DE4">
        <w:rPr>
          <w:b/>
          <w:i/>
          <w:lang w:eastAsia="zh-CN"/>
        </w:rPr>
        <w:t>:</w:t>
      </w:r>
      <w:r w:rsidRPr="00363DE4">
        <w:rPr>
          <w:b/>
          <w:i/>
        </w:rPr>
        <w:t xml:space="preserve"> </w:t>
      </w:r>
      <w:r w:rsidRPr="00363DE4">
        <w:rPr>
          <w:b/>
          <w:i/>
          <w:lang w:eastAsia="zh-CN"/>
        </w:rPr>
        <w:t>If the UE determines that a preamble retransmission is necessary, the choice of a suitable preamble retransmission slot shall be delayed by K</w:t>
      </w:r>
      <w:r w:rsidR="00C553C6">
        <w:rPr>
          <w:b/>
          <w:i/>
          <w:lang w:eastAsia="zh-CN"/>
        </w:rPr>
        <w:t>_</w:t>
      </w:r>
      <w:r w:rsidRPr="00363DE4">
        <w:rPr>
          <w:b/>
          <w:i/>
          <w:lang w:eastAsia="zh-CN"/>
        </w:rPr>
        <w:t>offset as compared to current specification.</w:t>
      </w:r>
    </w:p>
    <w:p w14:paraId="1C4D55E9" w14:textId="77777777" w:rsidR="00C468EF" w:rsidRPr="002B65CA" w:rsidRDefault="00C468EF" w:rsidP="00C468EF">
      <w:pPr>
        <w:autoSpaceDE/>
        <w:autoSpaceDN/>
        <w:adjustRightInd/>
        <w:snapToGrid/>
        <w:spacing w:after="0"/>
        <w:jc w:val="left"/>
        <w:rPr>
          <w:b/>
          <w:i/>
          <w:szCs w:val="20"/>
          <w:lang w:eastAsia="zh-CN"/>
        </w:rPr>
      </w:pPr>
    </w:p>
    <w:p w14:paraId="5DE5997E" w14:textId="77777777" w:rsidR="00C468EF" w:rsidRPr="00C468EF" w:rsidRDefault="00C468EF" w:rsidP="00C468EF">
      <w:pPr>
        <w:keepNext/>
        <w:numPr>
          <w:ilvl w:val="0"/>
          <w:numId w:val="1"/>
        </w:numPr>
        <w:spacing w:before="120"/>
        <w:outlineLvl w:val="0"/>
        <w:rPr>
          <w:b/>
          <w:bCs/>
          <w:sz w:val="28"/>
          <w:szCs w:val="28"/>
          <w:lang w:val="en-GB" w:eastAsia="zh-CN"/>
        </w:rPr>
      </w:pPr>
      <w:r w:rsidRPr="00C468EF">
        <w:rPr>
          <w:b/>
          <w:bCs/>
          <w:sz w:val="28"/>
          <w:szCs w:val="28"/>
          <w:lang w:val="en-GB" w:eastAsia="zh-CN"/>
        </w:rPr>
        <w:t>Reference</w:t>
      </w:r>
    </w:p>
    <w:p w14:paraId="762BC111" w14:textId="78A20763" w:rsidR="00AF124F" w:rsidRPr="00881777" w:rsidRDefault="00800C25" w:rsidP="00800C25">
      <w:pPr>
        <w:pStyle w:val="References"/>
        <w:rPr>
          <w:sz w:val="22"/>
          <w:szCs w:val="22"/>
          <w:lang w:eastAsia="zh-CN"/>
        </w:rPr>
      </w:pPr>
      <w:r w:rsidRPr="00881777">
        <w:rPr>
          <w:sz w:val="22"/>
          <w:szCs w:val="22"/>
          <w:lang w:eastAsia="zh-CN"/>
        </w:rPr>
        <w:t>RP-211601</w:t>
      </w:r>
      <w:r w:rsidR="00C468EF" w:rsidRPr="00881777">
        <w:rPr>
          <w:sz w:val="22"/>
          <w:szCs w:val="22"/>
          <w:lang w:eastAsia="zh-CN"/>
        </w:rPr>
        <w:t>, “</w:t>
      </w:r>
      <w:r w:rsidRPr="00881777">
        <w:rPr>
          <w:sz w:val="22"/>
          <w:szCs w:val="22"/>
          <w:lang w:eastAsia="zh-CN"/>
        </w:rPr>
        <w:t>WID on NB-IoT/eMTC support for NTN</w:t>
      </w:r>
      <w:r w:rsidR="00C468EF" w:rsidRPr="00881777">
        <w:rPr>
          <w:sz w:val="22"/>
          <w:szCs w:val="22"/>
          <w:lang w:eastAsia="zh-CN"/>
        </w:rPr>
        <w:t>”, MediaTek Inc.</w:t>
      </w:r>
      <w:r w:rsidRPr="00881777">
        <w:rPr>
          <w:sz w:val="22"/>
          <w:szCs w:val="22"/>
          <w:lang w:eastAsia="zh-CN"/>
        </w:rPr>
        <w:t>, Eutelsat S.A.</w:t>
      </w:r>
      <w:r w:rsidR="00C468EF" w:rsidRPr="00881777">
        <w:rPr>
          <w:sz w:val="22"/>
          <w:szCs w:val="22"/>
          <w:lang w:eastAsia="zh-CN"/>
        </w:rPr>
        <w:t xml:space="preserve"> </w:t>
      </w:r>
    </w:p>
    <w:p w14:paraId="11D1D8BB" w14:textId="4CD0E079" w:rsidR="00C468EF" w:rsidRPr="008C7415" w:rsidRDefault="00C468EF" w:rsidP="008C7415">
      <w:pPr>
        <w:pStyle w:val="References"/>
        <w:rPr>
          <w:sz w:val="22"/>
          <w:szCs w:val="22"/>
          <w:lang w:eastAsia="zh-CN"/>
        </w:rPr>
      </w:pPr>
      <w:bookmarkStart w:id="6" w:name="OLE_LINK13"/>
      <w:bookmarkStart w:id="7" w:name="OLE_LINK14"/>
      <w:r w:rsidRPr="008C7415">
        <w:rPr>
          <w:sz w:val="22"/>
          <w:szCs w:val="22"/>
          <w:lang w:eastAsia="zh-CN"/>
        </w:rPr>
        <w:t>3GPP RAN1#10</w:t>
      </w:r>
      <w:r w:rsidR="008C7415" w:rsidRPr="008C7415">
        <w:rPr>
          <w:sz w:val="22"/>
          <w:szCs w:val="22"/>
          <w:lang w:eastAsia="zh-CN"/>
        </w:rPr>
        <w:t>6</w:t>
      </w:r>
      <w:r w:rsidRPr="008C7415">
        <w:rPr>
          <w:sz w:val="22"/>
          <w:szCs w:val="22"/>
          <w:lang w:eastAsia="zh-CN"/>
        </w:rPr>
        <w:t xml:space="preserve">_e Chairman’s Notes, </w:t>
      </w:r>
      <w:r w:rsidR="008C7415" w:rsidRPr="008C7415">
        <w:rPr>
          <w:sz w:val="22"/>
          <w:szCs w:val="22"/>
          <w:lang w:eastAsia="zh-CN"/>
        </w:rPr>
        <w:t xml:space="preserve">August </w:t>
      </w:r>
      <w:r w:rsidRPr="008C7415">
        <w:rPr>
          <w:sz w:val="22"/>
          <w:szCs w:val="22"/>
          <w:lang w:eastAsia="zh-CN"/>
        </w:rPr>
        <w:t>1</w:t>
      </w:r>
      <w:r w:rsidR="008C7415" w:rsidRPr="008C7415">
        <w:rPr>
          <w:sz w:val="22"/>
          <w:szCs w:val="22"/>
          <w:lang w:eastAsia="zh-CN"/>
        </w:rPr>
        <w:t>6</w:t>
      </w:r>
      <w:r w:rsidR="00881777" w:rsidRPr="008C7415">
        <w:rPr>
          <w:sz w:val="22"/>
          <w:szCs w:val="22"/>
          <w:lang w:eastAsia="zh-CN"/>
        </w:rPr>
        <w:t>th</w:t>
      </w:r>
      <w:r w:rsidRPr="008C7415">
        <w:rPr>
          <w:sz w:val="22"/>
          <w:szCs w:val="22"/>
          <w:lang w:eastAsia="zh-CN"/>
        </w:rPr>
        <w:t xml:space="preserve"> - </w:t>
      </w:r>
      <w:r w:rsidR="008C7415" w:rsidRPr="008C7415">
        <w:rPr>
          <w:sz w:val="22"/>
          <w:szCs w:val="22"/>
          <w:lang w:eastAsia="zh-CN"/>
        </w:rPr>
        <w:t xml:space="preserve">August </w:t>
      </w:r>
      <w:r w:rsidRPr="008C7415">
        <w:rPr>
          <w:sz w:val="22"/>
          <w:szCs w:val="22"/>
          <w:lang w:eastAsia="zh-CN"/>
        </w:rPr>
        <w:t>2</w:t>
      </w:r>
      <w:r w:rsidR="008C7415" w:rsidRPr="008C7415">
        <w:rPr>
          <w:sz w:val="22"/>
          <w:szCs w:val="22"/>
          <w:lang w:eastAsia="zh-CN"/>
        </w:rPr>
        <w:t>7</w:t>
      </w:r>
      <w:r w:rsidR="00881777" w:rsidRPr="008C7415">
        <w:rPr>
          <w:sz w:val="22"/>
          <w:szCs w:val="22"/>
          <w:lang w:eastAsia="zh-CN"/>
        </w:rPr>
        <w:t>th</w:t>
      </w:r>
      <w:r w:rsidRPr="008C7415">
        <w:rPr>
          <w:sz w:val="22"/>
          <w:szCs w:val="22"/>
          <w:lang w:eastAsia="zh-CN"/>
        </w:rPr>
        <w:t>, 2021.</w:t>
      </w:r>
    </w:p>
    <w:p w14:paraId="005DFEDF" w14:textId="7048FF0E" w:rsidR="008C7415" w:rsidRPr="008C7415" w:rsidRDefault="008C7415" w:rsidP="008C7415">
      <w:pPr>
        <w:pStyle w:val="References"/>
        <w:rPr>
          <w:sz w:val="22"/>
          <w:szCs w:val="22"/>
          <w:lang w:eastAsia="zh-CN"/>
        </w:rPr>
      </w:pPr>
      <w:r w:rsidRPr="008C7415">
        <w:rPr>
          <w:sz w:val="22"/>
          <w:szCs w:val="22"/>
          <w:lang w:eastAsia="zh-CN"/>
        </w:rPr>
        <w:t>R1-2108637, “FL summary 6 of AI 8.15.2: Timing relationships for IoT-NTN”, Moderator (Sony).</w:t>
      </w:r>
    </w:p>
    <w:bookmarkEnd w:id="6"/>
    <w:bookmarkEnd w:id="7"/>
    <w:p w14:paraId="3A743694" w14:textId="77777777" w:rsidR="00C468EF" w:rsidRPr="00C468EF" w:rsidRDefault="00C468EF" w:rsidP="00C468EF">
      <w:pPr>
        <w:tabs>
          <w:tab w:val="left" w:pos="360"/>
        </w:tabs>
        <w:adjustRightInd/>
        <w:spacing w:after="60"/>
        <w:ind w:left="360"/>
        <w:jc w:val="left"/>
        <w:rPr>
          <w:highlight w:val="yellow"/>
          <w:lang w:eastAsia="zh-CN"/>
        </w:rPr>
      </w:pPr>
    </w:p>
    <w:bookmarkEnd w:id="0"/>
    <w:p w14:paraId="10AA5369" w14:textId="77777777" w:rsidR="00C468EF" w:rsidRPr="00C468EF" w:rsidRDefault="00C468EF" w:rsidP="009F76FA">
      <w:pPr>
        <w:rPr>
          <w:lang w:eastAsia="zh-CN"/>
        </w:rPr>
      </w:pPr>
    </w:p>
    <w:sectPr w:rsidR="00C468EF" w:rsidRPr="00C468E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416A0" w14:textId="77777777" w:rsidR="00953BC6" w:rsidRDefault="00953BC6" w:rsidP="00921B36">
      <w:pPr>
        <w:spacing w:after="0"/>
      </w:pPr>
      <w:r>
        <w:separator/>
      </w:r>
    </w:p>
  </w:endnote>
  <w:endnote w:type="continuationSeparator" w:id="0">
    <w:p w14:paraId="438C23B6" w14:textId="77777777" w:rsidR="00953BC6" w:rsidRDefault="00953BC6"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E0DBB" w14:textId="77777777" w:rsidR="00953BC6" w:rsidRDefault="00953BC6" w:rsidP="00921B36">
      <w:pPr>
        <w:spacing w:after="0"/>
      </w:pPr>
      <w:r>
        <w:separator/>
      </w:r>
    </w:p>
  </w:footnote>
  <w:footnote w:type="continuationSeparator" w:id="0">
    <w:p w14:paraId="788FC329" w14:textId="77777777" w:rsidR="00953BC6" w:rsidRDefault="00953BC6"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9" w15:restartNumberingAfterBreak="0">
    <w:nsid w:val="0F9D19ED"/>
    <w:multiLevelType w:val="hybridMultilevel"/>
    <w:tmpl w:val="78C4959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5F32D6"/>
    <w:multiLevelType w:val="hybridMultilevel"/>
    <w:tmpl w:val="14263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67493"/>
    <w:multiLevelType w:val="hybridMultilevel"/>
    <w:tmpl w:val="000667E4"/>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87B7CC8"/>
    <w:multiLevelType w:val="hybridMultilevel"/>
    <w:tmpl w:val="05EC9F12"/>
    <w:lvl w:ilvl="0" w:tplc="74F424EE">
      <w:numFmt w:val="bullet"/>
      <w:lvlText w:val="-"/>
      <w:lvlJc w:val="left"/>
      <w:pPr>
        <w:ind w:left="644" w:hanging="360"/>
      </w:pPr>
      <w:rPr>
        <w:rFonts w:ascii="Calibri" w:eastAsia="PMingLiU"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02889"/>
    <w:multiLevelType w:val="hybridMultilevel"/>
    <w:tmpl w:val="E06E7158"/>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6564A4"/>
    <w:multiLevelType w:val="hybridMultilevel"/>
    <w:tmpl w:val="FB06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8"/>
  </w:num>
  <w:num w:numId="3">
    <w:abstractNumId w:val="0"/>
  </w:num>
  <w:num w:numId="4">
    <w:abstractNumId w:val="21"/>
  </w:num>
  <w:num w:numId="5">
    <w:abstractNumId w:val="43"/>
  </w:num>
  <w:num w:numId="6">
    <w:abstractNumId w:val="39"/>
  </w:num>
  <w:num w:numId="7">
    <w:abstractNumId w:val="23"/>
  </w:num>
  <w:num w:numId="8">
    <w:abstractNumId w:val="40"/>
  </w:num>
  <w:num w:numId="9">
    <w:abstractNumId w:val="8"/>
  </w:num>
  <w:num w:numId="10">
    <w:abstractNumId w:val="24"/>
  </w:num>
  <w:num w:numId="11">
    <w:abstractNumId w:val="27"/>
  </w:num>
  <w:num w:numId="12">
    <w:abstractNumId w:val="45"/>
  </w:num>
  <w:num w:numId="13">
    <w:abstractNumId w:val="28"/>
  </w:num>
  <w:num w:numId="14">
    <w:abstractNumId w:val="42"/>
  </w:num>
  <w:num w:numId="15">
    <w:abstractNumId w:val="22"/>
  </w:num>
  <w:num w:numId="16">
    <w:abstractNumId w:val="34"/>
  </w:num>
  <w:num w:numId="17">
    <w:abstractNumId w:val="25"/>
  </w:num>
  <w:num w:numId="18">
    <w:abstractNumId w:val="12"/>
  </w:num>
  <w:num w:numId="19">
    <w:abstractNumId w:val="3"/>
  </w:num>
  <w:num w:numId="20">
    <w:abstractNumId w:val="4"/>
  </w:num>
  <w:num w:numId="21">
    <w:abstractNumId w:val="31"/>
  </w:num>
  <w:num w:numId="22">
    <w:abstractNumId w:val="32"/>
  </w:num>
  <w:num w:numId="23">
    <w:abstractNumId w:val="15"/>
  </w:num>
  <w:num w:numId="24">
    <w:abstractNumId w:val="19"/>
  </w:num>
  <w:num w:numId="25">
    <w:abstractNumId w:val="16"/>
  </w:num>
  <w:num w:numId="26">
    <w:abstractNumId w:val="11"/>
  </w:num>
  <w:num w:numId="27">
    <w:abstractNumId w:val="44"/>
  </w:num>
  <w:num w:numId="28">
    <w:abstractNumId w:val="6"/>
  </w:num>
  <w:num w:numId="29">
    <w:abstractNumId w:val="7"/>
  </w:num>
  <w:num w:numId="30">
    <w:abstractNumId w:val="10"/>
  </w:num>
  <w:num w:numId="31">
    <w:abstractNumId w:val="41"/>
  </w:num>
  <w:num w:numId="32">
    <w:abstractNumId w:val="35"/>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6"/>
  </w:num>
  <w:num w:numId="35">
    <w:abstractNumId w:val="29"/>
  </w:num>
  <w:num w:numId="36">
    <w:abstractNumId w:val="9"/>
  </w:num>
  <w:num w:numId="37">
    <w:abstractNumId w:val="20"/>
  </w:num>
  <w:num w:numId="38">
    <w:abstractNumId w:val="18"/>
  </w:num>
  <w:num w:numId="39">
    <w:abstractNumId w:val="30"/>
  </w:num>
  <w:num w:numId="40">
    <w:abstractNumId w:val="5"/>
  </w:num>
  <w:num w:numId="41">
    <w:abstractNumId w:val="36"/>
  </w:num>
  <w:num w:numId="42">
    <w:abstractNumId w:val="37"/>
  </w:num>
  <w:num w:numId="43">
    <w:abstractNumId w:val="2"/>
  </w:num>
  <w:num w:numId="44">
    <w:abstractNumId w:val="14"/>
  </w:num>
  <w:num w:numId="45">
    <w:abstractNumId w:val="17"/>
  </w:num>
  <w:num w:numId="46">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CC6"/>
    <w:rsid w:val="00013D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4CF"/>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45"/>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92E"/>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871"/>
    <w:rsid w:val="00085A8D"/>
    <w:rsid w:val="00085C95"/>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586"/>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5DF3"/>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42"/>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43"/>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3A"/>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50B"/>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5E3"/>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6F4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877"/>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6EA"/>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E2F"/>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497"/>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5CA"/>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20B"/>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D54"/>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98E"/>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1F0C"/>
    <w:rsid w:val="00312400"/>
    <w:rsid w:val="00312657"/>
    <w:rsid w:val="003126C0"/>
    <w:rsid w:val="00312739"/>
    <w:rsid w:val="00312815"/>
    <w:rsid w:val="00312D10"/>
    <w:rsid w:val="00312FF5"/>
    <w:rsid w:val="00313232"/>
    <w:rsid w:val="003132D3"/>
    <w:rsid w:val="00313813"/>
    <w:rsid w:val="00313D65"/>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8D"/>
    <w:rsid w:val="003228DA"/>
    <w:rsid w:val="00322C68"/>
    <w:rsid w:val="00322CFB"/>
    <w:rsid w:val="00322DCB"/>
    <w:rsid w:val="00323536"/>
    <w:rsid w:val="00323605"/>
    <w:rsid w:val="00323893"/>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DC6"/>
    <w:rsid w:val="00355E31"/>
    <w:rsid w:val="003562EA"/>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3DE4"/>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799"/>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3E"/>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D0E"/>
    <w:rsid w:val="003A6F54"/>
    <w:rsid w:val="003A700A"/>
    <w:rsid w:val="003A7346"/>
    <w:rsid w:val="003A73B9"/>
    <w:rsid w:val="003A7834"/>
    <w:rsid w:val="003A7ABE"/>
    <w:rsid w:val="003B00C2"/>
    <w:rsid w:val="003B0676"/>
    <w:rsid w:val="003B0B5B"/>
    <w:rsid w:val="003B0B98"/>
    <w:rsid w:val="003B0CB6"/>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5EEA"/>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0DF7"/>
    <w:rsid w:val="003E1328"/>
    <w:rsid w:val="003E14FC"/>
    <w:rsid w:val="003E245A"/>
    <w:rsid w:val="003E2633"/>
    <w:rsid w:val="003E28A1"/>
    <w:rsid w:val="003E2976"/>
    <w:rsid w:val="003E29F2"/>
    <w:rsid w:val="003E2D35"/>
    <w:rsid w:val="003E2E41"/>
    <w:rsid w:val="003E2EE7"/>
    <w:rsid w:val="003E2FAB"/>
    <w:rsid w:val="003E2FCE"/>
    <w:rsid w:val="003E34CA"/>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EEC"/>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4E18"/>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0B1"/>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59"/>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3B6"/>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68"/>
    <w:rsid w:val="00526FBD"/>
    <w:rsid w:val="00527200"/>
    <w:rsid w:val="005274E2"/>
    <w:rsid w:val="005275EC"/>
    <w:rsid w:val="005277D0"/>
    <w:rsid w:val="00527AF0"/>
    <w:rsid w:val="00527B48"/>
    <w:rsid w:val="00527E47"/>
    <w:rsid w:val="00530157"/>
    <w:rsid w:val="0053036C"/>
    <w:rsid w:val="005306B5"/>
    <w:rsid w:val="0053078A"/>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A5D"/>
    <w:rsid w:val="00533BAF"/>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6F3"/>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579"/>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75F"/>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2F3B"/>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0BE"/>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5F82"/>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641"/>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01"/>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A49"/>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3C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901"/>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40"/>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1D4"/>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D5D"/>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DC5"/>
    <w:rsid w:val="00716E53"/>
    <w:rsid w:val="0071712C"/>
    <w:rsid w:val="0071744A"/>
    <w:rsid w:val="00717722"/>
    <w:rsid w:val="00717947"/>
    <w:rsid w:val="007200AC"/>
    <w:rsid w:val="007200E1"/>
    <w:rsid w:val="0072039D"/>
    <w:rsid w:val="00720411"/>
    <w:rsid w:val="007204E2"/>
    <w:rsid w:val="0072060F"/>
    <w:rsid w:val="007206D1"/>
    <w:rsid w:val="00720F4E"/>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05"/>
    <w:rsid w:val="007239A9"/>
    <w:rsid w:val="00723A94"/>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1F8E"/>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51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0934"/>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6DC"/>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549"/>
    <w:rsid w:val="0077781E"/>
    <w:rsid w:val="007778A3"/>
    <w:rsid w:val="00777AE2"/>
    <w:rsid w:val="00777AF2"/>
    <w:rsid w:val="00777BA0"/>
    <w:rsid w:val="00777C62"/>
    <w:rsid w:val="00777CDA"/>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404"/>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33"/>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BC3"/>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6DA2"/>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4CE"/>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C25"/>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240"/>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C3A"/>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0E18"/>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777"/>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CA5"/>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840"/>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9BE"/>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415"/>
    <w:rsid w:val="008C785E"/>
    <w:rsid w:val="008C79F6"/>
    <w:rsid w:val="008C7C2D"/>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58"/>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86"/>
    <w:rsid w:val="00916B99"/>
    <w:rsid w:val="00916F20"/>
    <w:rsid w:val="00917236"/>
    <w:rsid w:val="009172B7"/>
    <w:rsid w:val="00920183"/>
    <w:rsid w:val="009204C5"/>
    <w:rsid w:val="009207AA"/>
    <w:rsid w:val="00920D8D"/>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39F"/>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5FEA"/>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BC6"/>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32"/>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1CC2"/>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D5C"/>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C17"/>
    <w:rsid w:val="009D2D0B"/>
    <w:rsid w:val="009D30A9"/>
    <w:rsid w:val="009D319C"/>
    <w:rsid w:val="009D3348"/>
    <w:rsid w:val="009D343D"/>
    <w:rsid w:val="009D3C72"/>
    <w:rsid w:val="009D4042"/>
    <w:rsid w:val="009D46E6"/>
    <w:rsid w:val="009D47B0"/>
    <w:rsid w:val="009D4A5B"/>
    <w:rsid w:val="009D4E68"/>
    <w:rsid w:val="009D4F84"/>
    <w:rsid w:val="009D503F"/>
    <w:rsid w:val="009D5106"/>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80C"/>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4E7"/>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2C74"/>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5FD6"/>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0FC9"/>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27"/>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4F"/>
    <w:rsid w:val="00AF1258"/>
    <w:rsid w:val="00AF14D7"/>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8DE"/>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06"/>
    <w:rsid w:val="00B50EB7"/>
    <w:rsid w:val="00B51003"/>
    <w:rsid w:val="00B511CE"/>
    <w:rsid w:val="00B51542"/>
    <w:rsid w:val="00B5157A"/>
    <w:rsid w:val="00B515B3"/>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2AB"/>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7AF"/>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0DB4"/>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0"/>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4FCC"/>
    <w:rsid w:val="00C45028"/>
    <w:rsid w:val="00C4516E"/>
    <w:rsid w:val="00C452F5"/>
    <w:rsid w:val="00C4536A"/>
    <w:rsid w:val="00C45426"/>
    <w:rsid w:val="00C4567C"/>
    <w:rsid w:val="00C45B2D"/>
    <w:rsid w:val="00C45B61"/>
    <w:rsid w:val="00C45F9E"/>
    <w:rsid w:val="00C46344"/>
    <w:rsid w:val="00C46422"/>
    <w:rsid w:val="00C46555"/>
    <w:rsid w:val="00C46613"/>
    <w:rsid w:val="00C468EF"/>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3C6"/>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787"/>
    <w:rsid w:val="00C60A2B"/>
    <w:rsid w:val="00C60B3C"/>
    <w:rsid w:val="00C60C69"/>
    <w:rsid w:val="00C60D26"/>
    <w:rsid w:val="00C60E3E"/>
    <w:rsid w:val="00C61032"/>
    <w:rsid w:val="00C614CA"/>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61D"/>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3DA"/>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CCF"/>
    <w:rsid w:val="00CD4DF0"/>
    <w:rsid w:val="00CD5512"/>
    <w:rsid w:val="00CD60C2"/>
    <w:rsid w:val="00CD62B2"/>
    <w:rsid w:val="00CD6E3D"/>
    <w:rsid w:val="00CD71AB"/>
    <w:rsid w:val="00CD746A"/>
    <w:rsid w:val="00CD7567"/>
    <w:rsid w:val="00CD77F2"/>
    <w:rsid w:val="00CD799A"/>
    <w:rsid w:val="00CD7E26"/>
    <w:rsid w:val="00CD7FD2"/>
    <w:rsid w:val="00CE0109"/>
    <w:rsid w:val="00CE0918"/>
    <w:rsid w:val="00CE09ED"/>
    <w:rsid w:val="00CE0A18"/>
    <w:rsid w:val="00CE0C0D"/>
    <w:rsid w:val="00CE1110"/>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02"/>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D05"/>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1"/>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D8E"/>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1F"/>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20"/>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4F64"/>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EE"/>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68C"/>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10"/>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5B2"/>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3EA"/>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C0E"/>
    <w:rsid w:val="00E67E23"/>
    <w:rsid w:val="00E70016"/>
    <w:rsid w:val="00E7043B"/>
    <w:rsid w:val="00E70670"/>
    <w:rsid w:val="00E70BC7"/>
    <w:rsid w:val="00E70F9A"/>
    <w:rsid w:val="00E70FBC"/>
    <w:rsid w:val="00E7116B"/>
    <w:rsid w:val="00E71379"/>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5F7B"/>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731"/>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2A8"/>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86E"/>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963"/>
    <w:rsid w:val="00EF2B7B"/>
    <w:rsid w:val="00EF2E01"/>
    <w:rsid w:val="00EF30A3"/>
    <w:rsid w:val="00EF3107"/>
    <w:rsid w:val="00EF3277"/>
    <w:rsid w:val="00EF392B"/>
    <w:rsid w:val="00EF3AD5"/>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5DC"/>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345"/>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948"/>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649"/>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943"/>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3EFE"/>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E19"/>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986"/>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56046769">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B8BDF0-D56F-4557-A4DB-93D92A564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4</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374</cp:revision>
  <cp:lastPrinted>2015-03-27T14:25:00Z</cp:lastPrinted>
  <dcterms:created xsi:type="dcterms:W3CDTF">2020-08-07T05:21:00Z</dcterms:created>
  <dcterms:modified xsi:type="dcterms:W3CDTF">2021-09-30T08:56:00Z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